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7D54C" w14:textId="3AF90BCD" w:rsidR="002B04F8" w:rsidRPr="008853FE" w:rsidRDefault="002B04F8" w:rsidP="002B04F8">
      <w:pPr>
        <w:pStyle w:val="3GPPHeader"/>
        <w:rPr>
          <w:lang w:val="en-US"/>
        </w:rPr>
      </w:pPr>
      <w:r w:rsidRPr="008853FE">
        <w:rPr>
          <w:lang w:val="en-US"/>
        </w:rPr>
        <w:t>3GPP TSG-RAN WG4 Meeting #1</w:t>
      </w:r>
      <w:r w:rsidR="00D41B0F">
        <w:rPr>
          <w:lang w:val="en-US"/>
        </w:rPr>
        <w:t>1</w:t>
      </w:r>
      <w:r w:rsidR="00F809FB">
        <w:rPr>
          <w:lang w:val="en-US"/>
        </w:rPr>
        <w:t>3</w:t>
      </w:r>
      <w:r w:rsidRPr="008853FE">
        <w:rPr>
          <w:lang w:val="en-US"/>
        </w:rPr>
        <w:tab/>
        <w:t>R4-</w:t>
      </w:r>
      <w:r w:rsidR="003D26B1" w:rsidRPr="003D26B1">
        <w:rPr>
          <w:lang w:val="en-US"/>
        </w:rPr>
        <w:t>2419741</w:t>
      </w:r>
    </w:p>
    <w:p w14:paraId="56CEB886" w14:textId="4D51AA81" w:rsidR="002B04F8" w:rsidRDefault="00F809FB" w:rsidP="002B04F8">
      <w:pPr>
        <w:pStyle w:val="3GPPHeader"/>
        <w:rPr>
          <w:lang w:val="en-US"/>
        </w:rPr>
      </w:pPr>
      <w:r w:rsidRPr="00F809FB">
        <w:rPr>
          <w:lang w:val="en-US"/>
        </w:rPr>
        <w:t>Orlando</w:t>
      </w:r>
      <w:r w:rsidR="00D41B0F" w:rsidRPr="00D41B0F">
        <w:rPr>
          <w:lang w:val="en-US"/>
        </w:rPr>
        <w:t xml:space="preserve">, </w:t>
      </w:r>
      <w:r>
        <w:rPr>
          <w:lang w:val="en-US"/>
        </w:rPr>
        <w:t>US</w:t>
      </w:r>
      <w:r w:rsidR="00D41B0F" w:rsidRPr="00D41B0F">
        <w:rPr>
          <w:lang w:val="en-US"/>
        </w:rPr>
        <w:t xml:space="preserve">, </w:t>
      </w:r>
      <w:r>
        <w:rPr>
          <w:lang w:val="en-US"/>
        </w:rPr>
        <w:t>November 18</w:t>
      </w:r>
      <w:r w:rsidR="00D41B0F" w:rsidRPr="00D41B0F">
        <w:rPr>
          <w:lang w:val="en-US"/>
        </w:rPr>
        <w:t xml:space="preserve"> –</w:t>
      </w:r>
      <w:r>
        <w:rPr>
          <w:lang w:val="en-US"/>
        </w:rPr>
        <w:t xml:space="preserve"> 22</w:t>
      </w:r>
      <w:r w:rsidR="00D41B0F" w:rsidRPr="00D41B0F">
        <w:rPr>
          <w:lang w:val="en-US"/>
        </w:rPr>
        <w:t>, 2024</w:t>
      </w:r>
    </w:p>
    <w:p w14:paraId="5389C671" w14:textId="4E620D82" w:rsidR="002B04F8" w:rsidRPr="001665C6" w:rsidRDefault="002B04F8" w:rsidP="002B04F8">
      <w:pPr>
        <w:pStyle w:val="3GPPHeader"/>
      </w:pPr>
      <w:r w:rsidRPr="001665C6">
        <w:t>Agenda Item:</w:t>
      </w:r>
      <w:r w:rsidRPr="001665C6">
        <w:tab/>
      </w:r>
      <w:r w:rsidR="00511DD1">
        <w:t>7</w:t>
      </w:r>
      <w:r w:rsidR="005B74B9" w:rsidRPr="00511DD1">
        <w:t>.23.4.2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94B0B0F" w:rsidR="008A22CF" w:rsidRPr="001A5974" w:rsidRDefault="008A22CF" w:rsidP="0014682B">
      <w:pPr>
        <w:pStyle w:val="3GPPHeader"/>
        <w:ind w:left="284" w:hanging="284"/>
      </w:pPr>
      <w:r w:rsidRPr="001A5974">
        <w:t>Title:</w:t>
      </w:r>
      <w:r w:rsidRPr="001A5974">
        <w:tab/>
      </w:r>
      <w:r w:rsidR="00985BFD" w:rsidRPr="00985BFD">
        <w:t xml:space="preserve">Discussion on the RRM </w:t>
      </w:r>
      <w:r w:rsidR="00982E70">
        <w:t xml:space="preserve">core </w:t>
      </w:r>
      <w:r w:rsidR="00985BFD" w:rsidRPr="00985BFD">
        <w:t>requirements for LP-WUS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1353F3A6" w14:textId="2BA7FD40" w:rsidR="0040238E" w:rsidRPr="000654B5" w:rsidRDefault="005F5A92" w:rsidP="006D75DD">
      <w:pPr>
        <w:jc w:val="both"/>
        <w:rPr>
          <w:rFonts w:ascii="Times New Roman" w:hAnsi="Times New Roman" w:cs="Times New Roman"/>
          <w:lang w:val="en-US"/>
        </w:rPr>
      </w:pPr>
      <w:bookmarkStart w:id="0" w:name="_Hlk127303950"/>
      <w:r>
        <w:rPr>
          <w:rFonts w:ascii="Times New Roman" w:hAnsi="Times New Roman" w:cs="Times New Roman"/>
          <w:lang w:val="en-US"/>
        </w:rPr>
        <w:t xml:space="preserve">The RRM core requirements for Rel-19 LP-WUS/WUR was further discussed in the last RAN4 meeting, and </w:t>
      </w:r>
      <w:r w:rsidR="00BA1E1B">
        <w:rPr>
          <w:rFonts w:ascii="Times New Roman" w:hAnsi="Times New Roman" w:cs="Times New Roman"/>
          <w:lang w:val="en-US"/>
        </w:rPr>
        <w:t>the achieved</w:t>
      </w:r>
      <w:r>
        <w:rPr>
          <w:rFonts w:ascii="Times New Roman" w:hAnsi="Times New Roman" w:cs="Times New Roman"/>
          <w:lang w:val="en-US"/>
        </w:rPr>
        <w:t xml:space="preserve"> agreements </w:t>
      </w:r>
      <w:r w:rsidR="00BA1E1B">
        <w:rPr>
          <w:rFonts w:ascii="Times New Roman" w:hAnsi="Times New Roman" w:cs="Times New Roman"/>
          <w:lang w:val="en-US"/>
        </w:rPr>
        <w:t>are</w:t>
      </w:r>
      <w:r>
        <w:rPr>
          <w:rFonts w:ascii="Times New Roman" w:hAnsi="Times New Roman" w:cs="Times New Roman"/>
          <w:lang w:val="en-US"/>
        </w:rPr>
        <w:t xml:space="preserve"> captured in the WF</w:t>
      </w:r>
      <w:r w:rsidR="00E16F44">
        <w:rPr>
          <w:rFonts w:ascii="Times New Roman" w:hAnsi="Times New Roman" w:cs="Times New Roman"/>
          <w:lang w:val="en-US"/>
        </w:rPr>
        <w:t xml:space="preserve"> </w:t>
      </w:r>
      <w:r w:rsidR="00E16F44">
        <w:rPr>
          <w:rFonts w:ascii="Times New Roman" w:hAnsi="Times New Roman" w:cs="Times New Roman"/>
          <w:lang w:val="en-US"/>
        </w:rPr>
        <w:fldChar w:fldCharType="begin"/>
      </w:r>
      <w:r w:rsidR="00E16F44">
        <w:rPr>
          <w:rFonts w:ascii="Times New Roman" w:hAnsi="Times New Roman" w:cs="Times New Roman"/>
          <w:lang w:val="en-US"/>
        </w:rPr>
        <w:instrText xml:space="preserve"> REF _Ref178035072 \r \h </w:instrText>
      </w:r>
      <w:r w:rsidR="00E16F44">
        <w:rPr>
          <w:rFonts w:ascii="Times New Roman" w:hAnsi="Times New Roman" w:cs="Times New Roman"/>
          <w:lang w:val="en-US"/>
        </w:rPr>
      </w:r>
      <w:r w:rsidR="00E16F44">
        <w:rPr>
          <w:rFonts w:ascii="Times New Roman" w:hAnsi="Times New Roman" w:cs="Times New Roman"/>
          <w:lang w:val="en-US"/>
        </w:rPr>
        <w:fldChar w:fldCharType="separate"/>
      </w:r>
      <w:r w:rsidR="00E16F44">
        <w:rPr>
          <w:rFonts w:ascii="Times New Roman" w:hAnsi="Times New Roman" w:cs="Times New Roman"/>
          <w:lang w:val="en-US"/>
        </w:rPr>
        <w:t>[1]</w:t>
      </w:r>
      <w:r w:rsidR="00E16F44">
        <w:rPr>
          <w:rFonts w:ascii="Times New Roman" w:hAnsi="Times New Roman" w:cs="Times New Roman"/>
          <w:lang w:val="en-US"/>
        </w:rPr>
        <w:fldChar w:fldCharType="end"/>
      </w:r>
      <w:r>
        <w:rPr>
          <w:rFonts w:ascii="Times New Roman" w:hAnsi="Times New Roman" w:cs="Times New Roman"/>
          <w:lang w:val="en-US"/>
        </w:rPr>
        <w:t>. In this paper, we continue the discussion on the open issues in the RRM core part and provide our view. The WID</w:t>
      </w:r>
      <w:r w:rsidR="00E16F44">
        <w:rPr>
          <w:rFonts w:ascii="Times New Roman" w:hAnsi="Times New Roman" w:cs="Times New Roman"/>
          <w:lang w:val="en-US"/>
        </w:rPr>
        <w:t xml:space="preserve"> </w:t>
      </w:r>
      <w:r w:rsidR="00E16F44">
        <w:rPr>
          <w:rFonts w:ascii="Times New Roman" w:hAnsi="Times New Roman" w:cs="Times New Roman"/>
          <w:lang w:val="en-US"/>
        </w:rPr>
        <w:fldChar w:fldCharType="begin"/>
      </w:r>
      <w:r w:rsidR="00E16F44">
        <w:rPr>
          <w:rFonts w:ascii="Times New Roman" w:hAnsi="Times New Roman" w:cs="Times New Roman"/>
          <w:lang w:val="en-US"/>
        </w:rPr>
        <w:instrText xml:space="preserve"> REF _Ref91246572 \r \h </w:instrText>
      </w:r>
      <w:r w:rsidR="00E16F44">
        <w:rPr>
          <w:rFonts w:ascii="Times New Roman" w:hAnsi="Times New Roman" w:cs="Times New Roman"/>
          <w:lang w:val="en-US"/>
        </w:rPr>
      </w:r>
      <w:r w:rsidR="00E16F44">
        <w:rPr>
          <w:rFonts w:ascii="Times New Roman" w:hAnsi="Times New Roman" w:cs="Times New Roman"/>
          <w:lang w:val="en-US"/>
        </w:rPr>
        <w:fldChar w:fldCharType="separate"/>
      </w:r>
      <w:r w:rsidR="00E16F44">
        <w:rPr>
          <w:rFonts w:ascii="Times New Roman" w:hAnsi="Times New Roman" w:cs="Times New Roman"/>
          <w:lang w:val="en-US"/>
        </w:rPr>
        <w:t>[2]</w:t>
      </w:r>
      <w:r w:rsidR="00E16F44">
        <w:rPr>
          <w:rFonts w:ascii="Times New Roman" w:hAnsi="Times New Roman" w:cs="Times New Roman"/>
          <w:lang w:val="en-US"/>
        </w:rPr>
        <w:fldChar w:fldCharType="end"/>
      </w:r>
      <w:r>
        <w:rPr>
          <w:rFonts w:ascii="Times New Roman" w:hAnsi="Times New Roman" w:cs="Times New Roman"/>
          <w:lang w:val="en-US"/>
        </w:rPr>
        <w:t xml:space="preserve"> is also provided as below for reference.</w:t>
      </w:r>
    </w:p>
    <w:tbl>
      <w:tblPr>
        <w:tblStyle w:val="TableGrid"/>
        <w:tblW w:w="0" w:type="auto"/>
        <w:tblLook w:val="04A0" w:firstRow="1" w:lastRow="0" w:firstColumn="1" w:lastColumn="0" w:noHBand="0" w:noVBand="1"/>
      </w:tblPr>
      <w:tblGrid>
        <w:gridCol w:w="9629"/>
      </w:tblGrid>
      <w:tr w:rsidR="00A157CA" w14:paraId="6190A36C" w14:textId="77777777" w:rsidTr="00A157CA">
        <w:tc>
          <w:tcPr>
            <w:tcW w:w="9629" w:type="dxa"/>
          </w:tcPr>
          <w:p w14:paraId="5334B3BC" w14:textId="77777777" w:rsidR="00A157CA" w:rsidRPr="00A157CA" w:rsidRDefault="00A157CA" w:rsidP="00A157CA">
            <w:pPr>
              <w:spacing w:after="0"/>
              <w:rPr>
                <w:rFonts w:ascii="Times New Roman" w:eastAsia="SimSun" w:hAnsi="Times New Roman" w:cs="Times New Roman"/>
                <w:bCs/>
                <w:sz w:val="20"/>
                <w:szCs w:val="20"/>
              </w:rPr>
            </w:pPr>
            <w:bookmarkStart w:id="1" w:name="_Hlk153295984"/>
            <w:r w:rsidRPr="00A157CA">
              <w:rPr>
                <w:rFonts w:ascii="Times New Roman" w:hAnsi="Times New Roman" w:cs="Times New Roman"/>
                <w:bCs/>
              </w:rPr>
              <w:t>The objectives of the work item are the following:</w:t>
            </w:r>
          </w:p>
          <w:p w14:paraId="27E0239E"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To specify an LP-WUS design commonly applicable to both IDLE/INACTIVE and CONNECTED modes (RAN1, RAN4)</w:t>
            </w:r>
          </w:p>
          <w:p w14:paraId="5CC32296"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 xml:space="preserve">Specify OOK (OOK-1 and/or OOK-4) based LP-WUS with </w:t>
            </w:r>
            <w:r w:rsidRPr="00A157CA">
              <w:rPr>
                <w:rFonts w:ascii="Times New Roman" w:hAnsi="Times New Roman" w:cs="Times New Roman"/>
              </w:rPr>
              <w:t xml:space="preserve">overlaid OFDM sequence(s) over OOK </w:t>
            </w:r>
            <w:proofErr w:type="gramStart"/>
            <w:r w:rsidRPr="00A157CA">
              <w:rPr>
                <w:rFonts w:ascii="Times New Roman" w:hAnsi="Times New Roman" w:cs="Times New Roman"/>
              </w:rPr>
              <w:t>symbol</w:t>
            </w:r>
            <w:proofErr w:type="gramEnd"/>
          </w:p>
          <w:p w14:paraId="4512CB8E"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color w:val="000000"/>
                <w:lang w:val="en-US"/>
              </w:rPr>
            </w:pPr>
            <w:r w:rsidRPr="00A157CA">
              <w:rPr>
                <w:rFonts w:ascii="Times New Roman" w:hAnsi="Times New Roman" w:cs="Times New Roman"/>
                <w:bCs/>
                <w:color w:val="000000"/>
                <w:lang w:val="en-US"/>
              </w:rPr>
              <w:t>The LP-WUS design shall ensure that for IDLE/INACTIVE operation, the same information is delivered irrespective of LP-WUR type. The OFDM sequence can carry information.</w:t>
            </w:r>
          </w:p>
          <w:p w14:paraId="7D17D21C"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 xml:space="preserve">At least duty-cycled monitoring of LP-WUS is </w:t>
            </w:r>
            <w:proofErr w:type="gramStart"/>
            <w:r w:rsidRPr="00A157CA">
              <w:rPr>
                <w:rFonts w:ascii="Times New Roman" w:hAnsi="Times New Roman" w:cs="Times New Roman"/>
                <w:bCs/>
                <w:lang w:val="en-US" w:bidi="ar"/>
              </w:rPr>
              <w:t>supported</w:t>
            </w:r>
            <w:proofErr w:type="gramEnd"/>
          </w:p>
          <w:p w14:paraId="15E47FF9"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For IDLE/INACTIVE modes</w:t>
            </w:r>
          </w:p>
          <w:p w14:paraId="7A0E3A69" w14:textId="77777777" w:rsidR="00A157CA" w:rsidRPr="0040238E" w:rsidRDefault="00A157CA" w:rsidP="00A157CA">
            <w:pPr>
              <w:numPr>
                <w:ilvl w:val="1"/>
                <w:numId w:val="11"/>
              </w:numPr>
              <w:tabs>
                <w:tab w:val="left" w:pos="1440"/>
              </w:tabs>
              <w:spacing w:beforeLines="50" w:before="120" w:after="0"/>
              <w:ind w:hanging="357"/>
              <w:rPr>
                <w:rFonts w:ascii="Times New Roman" w:hAnsi="Times New Roman" w:cs="Times New Roman"/>
                <w:bCs/>
                <w:lang w:val="en-US" w:bidi="ar"/>
              </w:rPr>
            </w:pPr>
            <w:r w:rsidRPr="0040238E">
              <w:rPr>
                <w:rFonts w:ascii="Times New Roman" w:hAnsi="Times New Roman" w:cs="Times New Roman"/>
                <w:bCs/>
                <w:lang w:val="en-US" w:bidi="ar"/>
              </w:rPr>
              <w:t>Specify procedure and configuration of LP-WUS indicating paging monitoring triggered by LP-WUS, including at least configuration, sub-grouping and entry/exit condition for LP-WUS monitoring (RAN2, RAN1, RAN3, RAN4)</w:t>
            </w:r>
          </w:p>
          <w:p w14:paraId="0EE3CEE0"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Specify LP-SS with periodicity with Yms for LP-WUR, for synchronization and/or RRM for serving cell. (RAN1, RAN4)</w:t>
            </w:r>
          </w:p>
          <w:p w14:paraId="54841D3F"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LP-SS is based on OOK-1 and/or OOK-4 waveform with or without overlaid OFDM sequences. Further down selection between with and without overlaid OFDM sequences is to be done within WI.</w:t>
            </w:r>
          </w:p>
          <w:p w14:paraId="6B62EABA"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color w:val="000000"/>
                <w:lang w:val="en-US" w:bidi="ar"/>
              </w:rPr>
            </w:pPr>
            <w:r w:rsidRPr="00A157CA">
              <w:rPr>
                <w:rFonts w:ascii="Times New Roman" w:hAnsi="Times New Roman" w:cs="Times New Roman"/>
                <w:bCs/>
                <w:color w:val="000000"/>
                <w:lang w:val="en-US" w:bidi="ar"/>
              </w:rPr>
              <w:t>Note: For LP-WUR that can receive existing PSS/SSS, existing PSS/SSS can be used for synchronization and RRM instead of LP-SS.</w:t>
            </w:r>
          </w:p>
          <w:p w14:paraId="4CD3D08A"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lang w:val="en-US" w:bidi="ar"/>
              </w:rPr>
            </w:pPr>
            <w:r w:rsidRPr="00A157CA">
              <w:rPr>
                <w:rFonts w:ascii="Times New Roman" w:hAnsi="Times New Roman" w:cs="Times New Roman"/>
                <w:bCs/>
                <w:lang w:val="en-US" w:bidi="ar"/>
              </w:rPr>
              <w:t>Y will be decided within WI. 320ms is the start point.</w:t>
            </w:r>
          </w:p>
          <w:p w14:paraId="74F4186B" w14:textId="77777777" w:rsidR="00A157CA" w:rsidRPr="0040238E"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40238E">
              <w:rPr>
                <w:rFonts w:ascii="Times New Roman" w:hAnsi="Times New Roman" w:cs="Times New Roman"/>
                <w:bCs/>
                <w:lang w:val="en-US" w:bidi="ar"/>
              </w:rPr>
              <w:t>Specify further RRM relaxation of UE MR for both serving and neighbor cell measurements, and UE serving cell RRM measurement offloaded from MR to LP-WUR, including the necessary conditions (RAN4, RAN2)</w:t>
            </w:r>
          </w:p>
          <w:p w14:paraId="5359BC5A"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For CONNECTED mode, specify procedures to allow UE MR PDCCH monitoring triggered by LP-WUS including activation and deactivation procedure of LP-WUS monitoring (RAN2, RAN1)</w:t>
            </w:r>
          </w:p>
          <w:p w14:paraId="53B11CAE"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Note: In CONNECTED mode, UE MR ultra-deep sleep is not considered, and UE RRM/RLM/BFD/CSI measurements are performed by MR</w:t>
            </w:r>
          </w:p>
          <w:p w14:paraId="4CA61C32" w14:textId="77777777" w:rsidR="00A157CA" w:rsidRPr="00A157CA" w:rsidRDefault="00A157CA" w:rsidP="00A157CA">
            <w:pPr>
              <w:numPr>
                <w:ilvl w:val="0"/>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lastRenderedPageBreak/>
              <w:t>Note: The target coverage of LP-WUS and LP-SS shall be the coverage of PUSCH for message3.</w:t>
            </w:r>
          </w:p>
          <w:p w14:paraId="1B9493F7" w14:textId="77777777" w:rsidR="00A157CA" w:rsidRPr="00A157CA" w:rsidRDefault="00A157CA" w:rsidP="00A157CA">
            <w:pPr>
              <w:numPr>
                <w:ilvl w:val="0"/>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t>Note: The optimization of LP-WUS signal design for idle/inactive mode is prioritized over the optimization for connected mode.</w:t>
            </w:r>
          </w:p>
          <w:bookmarkEnd w:id="1"/>
          <w:p w14:paraId="2DFD307D" w14:textId="77777777" w:rsidR="00A157CA" w:rsidRPr="00A157CA" w:rsidRDefault="00A157CA" w:rsidP="00A157CA">
            <w:pPr>
              <w:numPr>
                <w:ilvl w:val="0"/>
                <w:numId w:val="12"/>
              </w:numPr>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t>Specify the necessary RAN4 core requirement(s) to support the feature (RAN4).</w:t>
            </w:r>
          </w:p>
          <w:p w14:paraId="653A095E" w14:textId="77777777" w:rsidR="00A157CA" w:rsidRPr="00A157CA" w:rsidRDefault="00A157CA" w:rsidP="00A157CA">
            <w:pPr>
              <w:numPr>
                <w:ilvl w:val="1"/>
                <w:numId w:val="12"/>
              </w:numPr>
              <w:spacing w:beforeLines="50" w:before="120" w:after="0"/>
              <w:rPr>
                <w:rFonts w:ascii="Times New Roman" w:hAnsi="Times New Roman" w:cs="Times New Roman"/>
                <w:bCs/>
                <w:lang w:val="en-US"/>
              </w:rPr>
            </w:pPr>
            <w:bookmarkStart w:id="2" w:name="OLE_LINK1"/>
            <w:r w:rsidRPr="00A157CA">
              <w:rPr>
                <w:rFonts w:ascii="Times New Roman" w:hAnsi="Times New Roman" w:cs="Times New Roman"/>
                <w:bCs/>
                <w:lang w:val="en-US"/>
              </w:rPr>
              <w:t xml:space="preserve">Specify UE low-power wake-up receiver requirements, at least REFSENS, ACS and ASCS requirements with consideration of possible new methodology to assess the </w:t>
            </w:r>
            <w:bookmarkEnd w:id="2"/>
            <w:r w:rsidRPr="00A157CA">
              <w:rPr>
                <w:rFonts w:ascii="Times New Roman" w:hAnsi="Times New Roman" w:cs="Times New Roman"/>
                <w:bCs/>
                <w:lang w:val="en-US"/>
              </w:rPr>
              <w:t xml:space="preserve">low-power wake-up receiver </w:t>
            </w:r>
            <w:proofErr w:type="gramStart"/>
            <w:r w:rsidRPr="00A157CA">
              <w:rPr>
                <w:rFonts w:ascii="Times New Roman" w:hAnsi="Times New Roman" w:cs="Times New Roman"/>
                <w:bCs/>
                <w:lang w:val="en-US"/>
              </w:rPr>
              <w:t>performance</w:t>
            </w:r>
            <w:proofErr w:type="gramEnd"/>
          </w:p>
          <w:p w14:paraId="7E8652CE" w14:textId="77777777" w:rsidR="00A157CA" w:rsidRPr="00A157CA" w:rsidRDefault="00A157CA" w:rsidP="0026085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 xml:space="preserve">Define guard RBs for ACS and ASCS </w:t>
            </w:r>
            <w:proofErr w:type="gramStart"/>
            <w:r w:rsidRPr="00A157CA">
              <w:rPr>
                <w:rFonts w:ascii="Times New Roman" w:hAnsi="Times New Roman" w:cs="Times New Roman"/>
                <w:bCs/>
                <w:lang w:val="en-US"/>
              </w:rPr>
              <w:t>cases</w:t>
            </w:r>
            <w:proofErr w:type="gramEnd"/>
          </w:p>
          <w:p w14:paraId="0223AC1D" w14:textId="77777777" w:rsidR="00A157CA" w:rsidRPr="00A157CA" w:rsidRDefault="00A157CA" w:rsidP="0026085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Study testability of above requirements</w:t>
            </w:r>
          </w:p>
          <w:p w14:paraId="2D8E9101" w14:textId="77777777" w:rsidR="00A157CA" w:rsidRPr="00A157CA" w:rsidRDefault="00A157CA" w:rsidP="00A157C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 xml:space="preserve">Consider impacts of different architecture and impairments, </w:t>
            </w:r>
            <w:r w:rsidRPr="00A157CA">
              <w:rPr>
                <w:rFonts w:ascii="Times New Roman" w:hAnsi="Times New Roman" w:cs="Times New Roman"/>
              </w:rPr>
              <w:t xml:space="preserve">and set requirements that enable all types of reasonable </w:t>
            </w:r>
            <w:proofErr w:type="gramStart"/>
            <w:r w:rsidRPr="00A157CA">
              <w:rPr>
                <w:rFonts w:ascii="Times New Roman" w:hAnsi="Times New Roman" w:cs="Times New Roman"/>
              </w:rPr>
              <w:t>implementation</w:t>
            </w:r>
            <w:proofErr w:type="gramEnd"/>
            <w:r w:rsidRPr="00A157CA">
              <w:rPr>
                <w:rFonts w:ascii="Times New Roman" w:hAnsi="Times New Roman" w:cs="Times New Roman"/>
                <w:bCs/>
                <w:lang w:val="en-US"/>
              </w:rPr>
              <w:t xml:space="preserve"> </w:t>
            </w:r>
          </w:p>
          <w:p w14:paraId="515D9D3F" w14:textId="77777777" w:rsidR="00A157CA" w:rsidRPr="00A157CA" w:rsidRDefault="00A157CA" w:rsidP="00A157CA">
            <w:pPr>
              <w:numPr>
                <w:ilvl w:val="1"/>
                <w:numId w:val="12"/>
              </w:numPr>
              <w:spacing w:beforeLines="50" w:before="120" w:after="0"/>
              <w:rPr>
                <w:rFonts w:ascii="Times New Roman" w:hAnsi="Times New Roman" w:cs="Times New Roman"/>
                <w:bCs/>
                <w:lang w:val="en-US"/>
              </w:rPr>
            </w:pPr>
            <w:r w:rsidRPr="00A157CA">
              <w:rPr>
                <w:rFonts w:ascii="Times New Roman" w:hAnsi="Times New Roman" w:cs="Times New Roman"/>
                <w:bCs/>
              </w:rPr>
              <w:t>Study and</w:t>
            </w:r>
            <w:r w:rsidRPr="00A157CA">
              <w:rPr>
                <w:rFonts w:ascii="Times New Roman" w:hAnsi="Times New Roman" w:cs="Times New Roman"/>
              </w:rPr>
              <w:t xml:space="preserve"> if </w:t>
            </w:r>
            <w:proofErr w:type="gramStart"/>
            <w:r w:rsidRPr="00A157CA">
              <w:rPr>
                <w:rFonts w:ascii="Times New Roman" w:hAnsi="Times New Roman" w:cs="Times New Roman"/>
              </w:rPr>
              <w:t>necessary</w:t>
            </w:r>
            <w:proofErr w:type="gramEnd"/>
            <w:r w:rsidRPr="00A157CA">
              <w:rPr>
                <w:rFonts w:ascii="Times New Roman" w:hAnsi="Times New Roman" w:cs="Times New Roman"/>
                <w:bCs/>
              </w:rPr>
              <w:t xml:space="preserve"> specify</w:t>
            </w:r>
            <w:r w:rsidRPr="00A157CA">
              <w:rPr>
                <w:rFonts w:ascii="Times New Roman" w:hAnsi="Times New Roman" w:cs="Times New Roman"/>
              </w:rPr>
              <w:t xml:space="preserve"> or support by declaration</w:t>
            </w:r>
            <w:r w:rsidRPr="00A157CA">
              <w:rPr>
                <w:rFonts w:ascii="Times New Roman" w:hAnsi="Times New Roman" w:cs="Times New Roman"/>
                <w:bCs/>
              </w:rPr>
              <w:t xml:space="preserve">, </w:t>
            </w:r>
            <w:r w:rsidRPr="00A157CA">
              <w:rPr>
                <w:rFonts w:ascii="Times New Roman" w:hAnsi="Times New Roman" w:cs="Times New Roman"/>
              </w:rPr>
              <w:t>the corresponding</w:t>
            </w:r>
            <w:r w:rsidRPr="00A157CA">
              <w:rPr>
                <w:rFonts w:ascii="Times New Roman" w:hAnsi="Times New Roman" w:cs="Times New Roman"/>
                <w:bCs/>
              </w:rPr>
              <w:t xml:space="preserve"> BS requirements, e.g., dynamic range for LP-WUS/LP-SS</w:t>
            </w:r>
            <w:r w:rsidRPr="00A157CA">
              <w:rPr>
                <w:rFonts w:ascii="Times New Roman" w:hAnsi="Times New Roman" w:cs="Times New Roman"/>
              </w:rPr>
              <w:t xml:space="preserve">. </w:t>
            </w:r>
          </w:p>
          <w:p w14:paraId="0F66481D" w14:textId="77777777" w:rsidR="00A157CA" w:rsidRPr="00A157CA" w:rsidRDefault="00A157CA" w:rsidP="00A157C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rPr>
              <w:t>C</w:t>
            </w:r>
            <w:r w:rsidRPr="00A157CA">
              <w:rPr>
                <w:rFonts w:ascii="Times New Roman" w:hAnsi="Times New Roman" w:cs="Times New Roman"/>
                <w:bCs/>
              </w:rPr>
              <w:t xml:space="preserve">urrent NR BS requirements is </w:t>
            </w:r>
            <w:proofErr w:type="gramStart"/>
            <w:r w:rsidRPr="00A157CA">
              <w:rPr>
                <w:rFonts w:ascii="Times New Roman" w:hAnsi="Times New Roman" w:cs="Times New Roman"/>
                <w:bCs/>
              </w:rPr>
              <w:t>baseline</w:t>
            </w:r>
            <w:proofErr w:type="gramEnd"/>
          </w:p>
          <w:p w14:paraId="6A1C7A67" w14:textId="1794A432" w:rsidR="00A157CA" w:rsidRPr="00A157CA" w:rsidRDefault="00A157CA" w:rsidP="00A157CA">
            <w:pPr>
              <w:numPr>
                <w:ilvl w:val="1"/>
                <w:numId w:val="12"/>
              </w:numPr>
              <w:spacing w:beforeLines="50" w:before="120" w:after="0"/>
              <w:rPr>
                <w:bCs/>
              </w:rPr>
            </w:pPr>
            <w:r w:rsidRPr="00A157CA">
              <w:rPr>
                <w:rFonts w:ascii="Times New Roman" w:hAnsi="Times New Roman" w:cs="Times New Roman"/>
                <w:bCs/>
              </w:rPr>
              <w:t>Specify necessary RRM requirements</w:t>
            </w:r>
          </w:p>
        </w:tc>
      </w:tr>
    </w:tbl>
    <w:p w14:paraId="28E2FD58" w14:textId="77777777" w:rsidR="00A157CA" w:rsidRDefault="00A157CA" w:rsidP="006D75DD">
      <w:pPr>
        <w:jc w:val="both"/>
        <w:rPr>
          <w:lang w:val="en-US"/>
        </w:rPr>
      </w:pPr>
    </w:p>
    <w:bookmarkEnd w:id="0"/>
    <w:p w14:paraId="63B30870" w14:textId="10ABB8D7" w:rsidR="006913F6" w:rsidRDefault="006913F6" w:rsidP="003914AD">
      <w:pPr>
        <w:pStyle w:val="Heading1"/>
        <w:numPr>
          <w:ilvl w:val="0"/>
          <w:numId w:val="3"/>
        </w:numPr>
        <w:rPr>
          <w:lang w:val="en-US"/>
        </w:rPr>
      </w:pPr>
      <w:r w:rsidRPr="009011F0">
        <w:rPr>
          <w:lang w:val="en-US"/>
        </w:rPr>
        <w:t>Discussion</w:t>
      </w:r>
    </w:p>
    <w:p w14:paraId="24C4A85D" w14:textId="526AF2E4" w:rsidR="00C22565" w:rsidRPr="00C22565" w:rsidRDefault="00C22565" w:rsidP="00C22565">
      <w:pPr>
        <w:pStyle w:val="Heading2"/>
        <w:numPr>
          <w:ilvl w:val="1"/>
          <w:numId w:val="36"/>
        </w:numPr>
        <w:tabs>
          <w:tab w:val="num" w:pos="360"/>
        </w:tabs>
        <w:ind w:left="360" w:hanging="360"/>
        <w:rPr>
          <w:lang w:val="en-US"/>
        </w:rPr>
      </w:pPr>
      <w:r>
        <w:rPr>
          <w:lang w:val="en-US"/>
        </w:rPr>
        <w:t>Cases/states of RRM relaxation for LP-WUS capable UE</w:t>
      </w:r>
    </w:p>
    <w:p w14:paraId="55046770" w14:textId="4C03F81F" w:rsidR="00031E07" w:rsidRDefault="00A80EB8" w:rsidP="00031E07">
      <w:pPr>
        <w:jc w:val="both"/>
      </w:pPr>
      <w:r>
        <w:rPr>
          <w:lang w:val="en-US"/>
        </w:rPr>
        <w:t xml:space="preserve">In the last meeting, RAN4 </w:t>
      </w:r>
      <w:r w:rsidR="00AB774D">
        <w:rPr>
          <w:lang w:val="en-US"/>
        </w:rPr>
        <w:t xml:space="preserve">further </w:t>
      </w:r>
      <w:r>
        <w:rPr>
          <w:lang w:val="en-US"/>
        </w:rPr>
        <w:t xml:space="preserve">discussed the possible </w:t>
      </w:r>
      <w:r w:rsidR="00DC28FF">
        <w:rPr>
          <w:lang w:val="en-US"/>
        </w:rPr>
        <w:t>RRM offloading</w:t>
      </w:r>
      <w:r w:rsidR="004C71EB">
        <w:rPr>
          <w:lang w:val="en-US"/>
        </w:rPr>
        <w:t>/relaxation</w:t>
      </w:r>
      <w:r w:rsidR="00DC28FF">
        <w:rPr>
          <w:lang w:val="en-US"/>
        </w:rPr>
        <w:t xml:space="preserve"> </w:t>
      </w:r>
      <w:r>
        <w:rPr>
          <w:lang w:val="en-US"/>
        </w:rPr>
        <w:t xml:space="preserve">cases </w:t>
      </w:r>
      <w:r w:rsidR="00AB774D">
        <w:rPr>
          <w:lang w:val="en-US"/>
        </w:rPr>
        <w:t>for</w:t>
      </w:r>
      <w:r>
        <w:rPr>
          <w:lang w:val="en-US"/>
        </w:rPr>
        <w:t xml:space="preserve"> LP-WU</w:t>
      </w:r>
      <w:r w:rsidR="00DC28FF">
        <w:rPr>
          <w:lang w:val="en-US"/>
        </w:rPr>
        <w:t>S capable</w:t>
      </w:r>
      <w:r>
        <w:rPr>
          <w:lang w:val="en-US"/>
        </w:rPr>
        <w:t xml:space="preserve"> UE </w:t>
      </w:r>
      <w:r w:rsidR="00AB774D">
        <w:rPr>
          <w:lang w:val="en-US"/>
        </w:rPr>
        <w:t>to</w:t>
      </w:r>
      <w:r>
        <w:rPr>
          <w:lang w:val="en-US"/>
        </w:rPr>
        <w:t xml:space="preserve"> be considered </w:t>
      </w:r>
      <w:r w:rsidR="00DC28FF">
        <w:rPr>
          <w:lang w:val="en-US"/>
        </w:rPr>
        <w:t>in Rel-19</w:t>
      </w:r>
      <w:r w:rsidR="00BA1E1B">
        <w:rPr>
          <w:lang w:val="en-US"/>
        </w:rPr>
        <w:t xml:space="preserve"> LP-WUS</w:t>
      </w:r>
      <w:r>
        <w:rPr>
          <w:lang w:val="en-US"/>
        </w:rPr>
        <w:t xml:space="preserve">. </w:t>
      </w:r>
      <w:r w:rsidR="00031E07">
        <w:t xml:space="preserve">In RAN4#111 meeting, RAN4 agreed on </w:t>
      </w:r>
      <w:r w:rsidR="004C71EB">
        <w:t>C</w:t>
      </w:r>
      <w:r w:rsidR="00031E07">
        <w:t>ase#1 (RRM offloading case)</w:t>
      </w:r>
      <w:r w:rsidR="005A6ADC">
        <w:t xml:space="preserve"> first</w:t>
      </w:r>
      <w:r w:rsidR="00031E07">
        <w:t xml:space="preserve"> and then in RAN4#112 meeting, RAN4 agreed on </w:t>
      </w:r>
      <w:r w:rsidR="004C71EB">
        <w:t>C</w:t>
      </w:r>
      <w:r w:rsidR="00031E07">
        <w:t xml:space="preserve">ase#3 (RRM relaxation case) as captured below. </w:t>
      </w:r>
    </w:p>
    <w:tbl>
      <w:tblPr>
        <w:tblStyle w:val="TableGrid"/>
        <w:tblW w:w="0" w:type="auto"/>
        <w:tblLook w:val="04A0" w:firstRow="1" w:lastRow="0" w:firstColumn="1" w:lastColumn="0" w:noHBand="0" w:noVBand="1"/>
      </w:tblPr>
      <w:tblGrid>
        <w:gridCol w:w="9629"/>
      </w:tblGrid>
      <w:tr w:rsidR="00031E07" w14:paraId="604915EE" w14:textId="77777777" w:rsidTr="00031E07">
        <w:tc>
          <w:tcPr>
            <w:tcW w:w="9629" w:type="dxa"/>
            <w:tcBorders>
              <w:top w:val="single" w:sz="4" w:space="0" w:color="auto"/>
              <w:left w:val="single" w:sz="4" w:space="0" w:color="auto"/>
              <w:bottom w:val="single" w:sz="4" w:space="0" w:color="auto"/>
              <w:right w:val="single" w:sz="4" w:space="0" w:color="auto"/>
            </w:tcBorders>
          </w:tcPr>
          <w:p w14:paraId="25012235" w14:textId="77777777" w:rsidR="00031E07" w:rsidRPr="00031E07" w:rsidRDefault="00031E07">
            <w:pPr>
              <w:rPr>
                <w:b/>
                <w:i/>
                <w:iCs/>
                <w:color w:val="70AD47" w:themeColor="accent6"/>
                <w:u w:val="single"/>
                <w:lang w:val="en-US" w:eastAsia="ko-KR"/>
              </w:rPr>
            </w:pPr>
            <w:r w:rsidRPr="00031E07">
              <w:rPr>
                <w:i/>
                <w:iCs/>
                <w:color w:val="70AD47" w:themeColor="accent6"/>
                <w:lang w:val="en-US" w:eastAsia="ja-JP"/>
              </w:rPr>
              <w:t>RAN4#111 agreement:</w:t>
            </w:r>
          </w:p>
          <w:p w14:paraId="378A2206" w14:textId="77777777" w:rsidR="00031E07" w:rsidRDefault="00031E07">
            <w:pPr>
              <w:rPr>
                <w:rFonts w:ascii="Times New Roman" w:eastAsia="SimSun" w:hAnsi="Times New Roman" w:cs="Times New Roman"/>
                <w:b/>
                <w:color w:val="000000" w:themeColor="text1"/>
                <w:kern w:val="0"/>
                <w:sz w:val="20"/>
                <w:szCs w:val="20"/>
                <w:u w:val="single"/>
                <w:lang w:val="en-US" w:eastAsia="ko-KR"/>
                <w14:ligatures w14:val="none"/>
              </w:rPr>
            </w:pPr>
            <w:r>
              <w:rPr>
                <w:b/>
                <w:color w:val="000000" w:themeColor="text1"/>
                <w:u w:val="single"/>
                <w:lang w:val="en-US" w:eastAsia="ko-KR"/>
              </w:rPr>
              <w:t xml:space="preserve">Issue 1-1-2: Cases/states to be considered for RRM </w:t>
            </w:r>
            <w:proofErr w:type="gramStart"/>
            <w:r>
              <w:rPr>
                <w:b/>
                <w:color w:val="000000" w:themeColor="text1"/>
                <w:u w:val="single"/>
                <w:lang w:val="en-US" w:eastAsia="ko-KR"/>
              </w:rPr>
              <w:t>relaxation</w:t>
            </w:r>
            <w:proofErr w:type="gramEnd"/>
          </w:p>
          <w:p w14:paraId="39E24DEF" w14:textId="77777777" w:rsidR="001215A0" w:rsidRDefault="001215A0" w:rsidP="001215A0">
            <w:pPr>
              <w:rPr>
                <w:rFonts w:ascii="Times New Roman" w:eastAsia="DengXian" w:hAnsi="Times New Roman" w:cs="Times New Roman"/>
                <w:color w:val="000000" w:themeColor="text1"/>
                <w:kern w:val="0"/>
                <w:sz w:val="21"/>
                <w:szCs w:val="21"/>
                <w14:ligatures w14:val="none"/>
              </w:rPr>
            </w:pPr>
            <w:r>
              <w:rPr>
                <w:rFonts w:eastAsia="DengXian"/>
                <w:color w:val="000000" w:themeColor="text1"/>
                <w:sz w:val="21"/>
                <w:szCs w:val="21"/>
              </w:rPr>
              <w:t>Agreement: 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1215A0" w14:paraId="3A4851BF" w14:textId="77777777" w:rsidTr="001215A0">
              <w:tc>
                <w:tcPr>
                  <w:tcW w:w="1985" w:type="dxa"/>
                  <w:tcBorders>
                    <w:top w:val="single" w:sz="4" w:space="0" w:color="auto"/>
                    <w:left w:val="single" w:sz="4" w:space="0" w:color="auto"/>
                    <w:bottom w:val="single" w:sz="4" w:space="0" w:color="auto"/>
                    <w:right w:val="single" w:sz="4" w:space="0" w:color="auto"/>
                  </w:tcBorders>
                  <w:hideMark/>
                </w:tcPr>
                <w:p w14:paraId="39D49581" w14:textId="77777777" w:rsidR="001215A0" w:rsidRPr="001215A0" w:rsidRDefault="001215A0" w:rsidP="001215A0">
                  <w:pPr>
                    <w:spacing w:after="0" w:line="254" w:lineRule="auto"/>
                    <w:rPr>
                      <w:rFonts w:eastAsia="Malgun Gothic"/>
                      <w:b/>
                      <w:bCs/>
                      <w:color w:val="000000" w:themeColor="text1"/>
                      <w:sz w:val="20"/>
                      <w:szCs w:val="20"/>
                      <w:lang w:val="en-US" w:eastAsia="ko-KR"/>
                    </w:rPr>
                  </w:pPr>
                  <w:r w:rsidRPr="001215A0">
                    <w:rPr>
                      <w:rFonts w:eastAsia="Malgun Gothic"/>
                      <w:b/>
                      <w:bCs/>
                      <w:color w:val="000000" w:themeColor="text1"/>
                      <w:sz w:val="20"/>
                      <w:szCs w:val="20"/>
                      <w:lang w:val="en-US" w:eastAsia="ko-KR"/>
                    </w:rPr>
                    <w:t>RRM measurement case index</w:t>
                  </w:r>
                </w:p>
              </w:tc>
              <w:tc>
                <w:tcPr>
                  <w:tcW w:w="1559" w:type="dxa"/>
                  <w:tcBorders>
                    <w:top w:val="single" w:sz="4" w:space="0" w:color="auto"/>
                    <w:left w:val="single" w:sz="4" w:space="0" w:color="auto"/>
                    <w:bottom w:val="single" w:sz="4" w:space="0" w:color="auto"/>
                    <w:right w:val="single" w:sz="4" w:space="0" w:color="auto"/>
                  </w:tcBorders>
                  <w:hideMark/>
                </w:tcPr>
                <w:p w14:paraId="2B783AE0" w14:textId="77777777" w:rsidR="001215A0" w:rsidRPr="001215A0" w:rsidRDefault="001215A0" w:rsidP="001215A0">
                  <w:pPr>
                    <w:spacing w:after="0" w:line="254" w:lineRule="auto"/>
                    <w:rPr>
                      <w:rFonts w:eastAsia="Malgun Gothic"/>
                      <w:b/>
                      <w:bCs/>
                      <w:color w:val="000000" w:themeColor="text1"/>
                      <w:sz w:val="20"/>
                      <w:szCs w:val="20"/>
                      <w:lang w:val="en-US" w:eastAsia="ko-KR"/>
                    </w:rPr>
                  </w:pPr>
                  <w:r w:rsidRPr="001215A0">
                    <w:rPr>
                      <w:rFonts w:eastAsia="Malgun Gothic"/>
                      <w:b/>
                      <w:bCs/>
                      <w:color w:val="000000" w:themeColor="text1"/>
                      <w:sz w:val="20"/>
                      <w:szCs w:val="20"/>
                      <w:lang w:val="en-US" w:eastAsia="ko-KR"/>
                    </w:rPr>
                    <w:t>MR serving cell measurement</w:t>
                  </w:r>
                </w:p>
              </w:tc>
              <w:tc>
                <w:tcPr>
                  <w:tcW w:w="1843" w:type="dxa"/>
                  <w:tcBorders>
                    <w:top w:val="single" w:sz="4" w:space="0" w:color="auto"/>
                    <w:left w:val="single" w:sz="4" w:space="0" w:color="auto"/>
                    <w:bottom w:val="single" w:sz="4" w:space="0" w:color="auto"/>
                    <w:right w:val="single" w:sz="4" w:space="0" w:color="auto"/>
                  </w:tcBorders>
                  <w:hideMark/>
                </w:tcPr>
                <w:p w14:paraId="3E776204" w14:textId="77777777" w:rsidR="001215A0" w:rsidRPr="001215A0" w:rsidRDefault="001215A0" w:rsidP="001215A0">
                  <w:pPr>
                    <w:spacing w:after="0" w:line="254" w:lineRule="auto"/>
                    <w:rPr>
                      <w:rFonts w:eastAsia="Malgun Gothic"/>
                      <w:b/>
                      <w:bCs/>
                      <w:color w:val="000000" w:themeColor="text1"/>
                      <w:sz w:val="20"/>
                      <w:szCs w:val="20"/>
                      <w:lang w:val="en-US" w:eastAsia="ko-KR"/>
                    </w:rPr>
                  </w:pPr>
                  <w:r w:rsidRPr="001215A0">
                    <w:rPr>
                      <w:rFonts w:eastAsia="Malgun Gothic"/>
                      <w:b/>
                      <w:bCs/>
                      <w:color w:val="000000" w:themeColor="text1"/>
                      <w:sz w:val="20"/>
                      <w:szCs w:val="20"/>
                      <w:lang w:val="en-US" w:eastAsia="ko-KR"/>
                    </w:rPr>
                    <w:t>MR neighboring cell measurement</w:t>
                  </w:r>
                </w:p>
              </w:tc>
              <w:tc>
                <w:tcPr>
                  <w:tcW w:w="1850" w:type="dxa"/>
                  <w:tcBorders>
                    <w:top w:val="single" w:sz="4" w:space="0" w:color="auto"/>
                    <w:left w:val="single" w:sz="4" w:space="0" w:color="auto"/>
                    <w:bottom w:val="single" w:sz="4" w:space="0" w:color="auto"/>
                    <w:right w:val="single" w:sz="4" w:space="0" w:color="auto"/>
                  </w:tcBorders>
                  <w:hideMark/>
                </w:tcPr>
                <w:p w14:paraId="04F8079A" w14:textId="77777777" w:rsidR="001215A0" w:rsidRPr="001215A0" w:rsidRDefault="001215A0" w:rsidP="001215A0">
                  <w:pPr>
                    <w:spacing w:after="0" w:line="254" w:lineRule="auto"/>
                    <w:rPr>
                      <w:rFonts w:eastAsia="Malgun Gothic"/>
                      <w:b/>
                      <w:bCs/>
                      <w:color w:val="000000" w:themeColor="text1"/>
                      <w:sz w:val="20"/>
                      <w:szCs w:val="20"/>
                      <w:lang w:val="en-US" w:eastAsia="ko-KR"/>
                    </w:rPr>
                  </w:pPr>
                  <w:r w:rsidRPr="001215A0">
                    <w:rPr>
                      <w:rFonts w:eastAsia="Malgun Gothic"/>
                      <w:b/>
                      <w:bCs/>
                      <w:color w:val="000000" w:themeColor="text1"/>
                      <w:sz w:val="20"/>
                      <w:szCs w:val="20"/>
                      <w:lang w:val="en-US" w:eastAsia="ko-KR"/>
                    </w:rPr>
                    <w:t>LR measurement</w:t>
                  </w:r>
                </w:p>
              </w:tc>
            </w:tr>
            <w:tr w:rsidR="001215A0" w14:paraId="54A738D5" w14:textId="77777777" w:rsidTr="001215A0">
              <w:tc>
                <w:tcPr>
                  <w:tcW w:w="1985" w:type="dxa"/>
                  <w:tcBorders>
                    <w:top w:val="single" w:sz="4" w:space="0" w:color="auto"/>
                    <w:left w:val="single" w:sz="4" w:space="0" w:color="auto"/>
                    <w:bottom w:val="single" w:sz="4" w:space="0" w:color="auto"/>
                    <w:right w:val="single" w:sz="4" w:space="0" w:color="auto"/>
                  </w:tcBorders>
                  <w:hideMark/>
                </w:tcPr>
                <w:p w14:paraId="0374EC13" w14:textId="77777777" w:rsidR="001215A0" w:rsidRPr="001215A0" w:rsidRDefault="001215A0" w:rsidP="001215A0">
                  <w:pPr>
                    <w:spacing w:after="0" w:line="254" w:lineRule="auto"/>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#1 Fully offloading case</w:t>
                  </w:r>
                </w:p>
              </w:tc>
              <w:tc>
                <w:tcPr>
                  <w:tcW w:w="1559" w:type="dxa"/>
                  <w:tcBorders>
                    <w:top w:val="single" w:sz="4" w:space="0" w:color="auto"/>
                    <w:left w:val="single" w:sz="4" w:space="0" w:color="auto"/>
                    <w:bottom w:val="single" w:sz="4" w:space="0" w:color="auto"/>
                    <w:right w:val="single" w:sz="4" w:space="0" w:color="auto"/>
                  </w:tcBorders>
                  <w:hideMark/>
                </w:tcPr>
                <w:p w14:paraId="379146A8" w14:textId="77777777" w:rsidR="001215A0" w:rsidRPr="001215A0" w:rsidRDefault="001215A0" w:rsidP="001215A0">
                  <w:pPr>
                    <w:spacing w:after="0" w:line="254" w:lineRule="auto"/>
                    <w:jc w:val="both"/>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 xml:space="preserve">Off </w:t>
                  </w:r>
                </w:p>
              </w:tc>
              <w:tc>
                <w:tcPr>
                  <w:tcW w:w="1843" w:type="dxa"/>
                  <w:tcBorders>
                    <w:top w:val="single" w:sz="4" w:space="0" w:color="auto"/>
                    <w:left w:val="single" w:sz="4" w:space="0" w:color="auto"/>
                    <w:bottom w:val="single" w:sz="4" w:space="0" w:color="auto"/>
                    <w:right w:val="single" w:sz="4" w:space="0" w:color="auto"/>
                  </w:tcBorders>
                  <w:hideMark/>
                </w:tcPr>
                <w:p w14:paraId="5B5065E2" w14:textId="77777777" w:rsidR="001215A0" w:rsidRPr="001215A0" w:rsidRDefault="001215A0" w:rsidP="001215A0">
                  <w:pPr>
                    <w:spacing w:after="0" w:line="254" w:lineRule="auto"/>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Off: FFS the condition and the details</w:t>
                  </w:r>
                </w:p>
              </w:tc>
              <w:tc>
                <w:tcPr>
                  <w:tcW w:w="1850" w:type="dxa"/>
                  <w:tcBorders>
                    <w:top w:val="single" w:sz="4" w:space="0" w:color="auto"/>
                    <w:left w:val="single" w:sz="4" w:space="0" w:color="auto"/>
                    <w:bottom w:val="single" w:sz="4" w:space="0" w:color="auto"/>
                    <w:right w:val="single" w:sz="4" w:space="0" w:color="auto"/>
                  </w:tcBorders>
                  <w:hideMark/>
                </w:tcPr>
                <w:p w14:paraId="36617A8D" w14:textId="77777777" w:rsidR="001215A0" w:rsidRPr="001215A0" w:rsidRDefault="001215A0" w:rsidP="001215A0">
                  <w:pPr>
                    <w:spacing w:after="0" w:line="254" w:lineRule="auto"/>
                    <w:jc w:val="both"/>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ON</w:t>
                  </w:r>
                </w:p>
              </w:tc>
            </w:tr>
          </w:tbl>
          <w:p w14:paraId="2E3C1367" w14:textId="77777777" w:rsidR="001215A0" w:rsidRDefault="001215A0" w:rsidP="001215A0">
            <w:pPr>
              <w:rPr>
                <w:rFonts w:eastAsia="DengXian"/>
                <w:i/>
                <w:color w:val="000000" w:themeColor="text1"/>
                <w:sz w:val="21"/>
                <w:szCs w:val="21"/>
              </w:rPr>
            </w:pPr>
          </w:p>
          <w:p w14:paraId="51C12FF5" w14:textId="77777777" w:rsidR="001215A0" w:rsidRPr="001215A0" w:rsidRDefault="001215A0" w:rsidP="001215A0">
            <w:pPr>
              <w:rPr>
                <w:rFonts w:eastAsia="DengXian"/>
                <w:color w:val="000000" w:themeColor="text1"/>
                <w:sz w:val="21"/>
                <w:szCs w:val="21"/>
              </w:rPr>
            </w:pPr>
            <w:r w:rsidRPr="001215A0">
              <w:rPr>
                <w:rFonts w:eastAsia="DengXian"/>
                <w:color w:val="000000" w:themeColor="text1"/>
                <w:sz w:val="21"/>
                <w:szCs w:val="21"/>
              </w:rPr>
              <w:t>RAN4 to further discuss case #2 to #4: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1215A0" w:rsidRPr="001215A0" w14:paraId="482F785F" w14:textId="77777777" w:rsidTr="001215A0">
              <w:tc>
                <w:tcPr>
                  <w:tcW w:w="1985" w:type="dxa"/>
                  <w:tcBorders>
                    <w:top w:val="single" w:sz="4" w:space="0" w:color="auto"/>
                    <w:left w:val="single" w:sz="4" w:space="0" w:color="auto"/>
                    <w:bottom w:val="single" w:sz="4" w:space="0" w:color="auto"/>
                    <w:right w:val="single" w:sz="4" w:space="0" w:color="auto"/>
                  </w:tcBorders>
                  <w:hideMark/>
                </w:tcPr>
                <w:p w14:paraId="7B59A62A" w14:textId="77777777" w:rsidR="001215A0" w:rsidRPr="001215A0" w:rsidRDefault="001215A0" w:rsidP="001215A0">
                  <w:pPr>
                    <w:spacing w:after="0" w:line="254" w:lineRule="auto"/>
                    <w:rPr>
                      <w:rFonts w:eastAsia="Malgun Gothic"/>
                      <w:b/>
                      <w:bCs/>
                      <w:color w:val="000000" w:themeColor="text1"/>
                      <w:sz w:val="20"/>
                      <w:szCs w:val="20"/>
                      <w:lang w:val="en-US" w:eastAsia="ko-KR"/>
                    </w:rPr>
                  </w:pPr>
                  <w:r w:rsidRPr="001215A0">
                    <w:rPr>
                      <w:b/>
                      <w:bCs/>
                      <w:sz w:val="20"/>
                      <w:szCs w:val="20"/>
                      <w:lang w:val="sv-SE"/>
                    </w:rPr>
                    <w:t>RRM measurement case index</w:t>
                  </w:r>
                </w:p>
              </w:tc>
              <w:tc>
                <w:tcPr>
                  <w:tcW w:w="1559" w:type="dxa"/>
                  <w:tcBorders>
                    <w:top w:val="single" w:sz="4" w:space="0" w:color="auto"/>
                    <w:left w:val="single" w:sz="4" w:space="0" w:color="auto"/>
                    <w:bottom w:val="single" w:sz="4" w:space="0" w:color="auto"/>
                    <w:right w:val="single" w:sz="4" w:space="0" w:color="auto"/>
                  </w:tcBorders>
                  <w:hideMark/>
                </w:tcPr>
                <w:p w14:paraId="39488322" w14:textId="77777777" w:rsidR="001215A0" w:rsidRPr="001215A0" w:rsidRDefault="001215A0" w:rsidP="001215A0">
                  <w:pPr>
                    <w:spacing w:after="0" w:line="254" w:lineRule="auto"/>
                    <w:rPr>
                      <w:rFonts w:eastAsia="Malgun Gothic"/>
                      <w:b/>
                      <w:bCs/>
                      <w:color w:val="000000" w:themeColor="text1"/>
                      <w:sz w:val="20"/>
                      <w:szCs w:val="20"/>
                      <w:lang w:val="en-US" w:eastAsia="ko-KR"/>
                    </w:rPr>
                  </w:pPr>
                  <w:r w:rsidRPr="001215A0">
                    <w:rPr>
                      <w:b/>
                      <w:bCs/>
                      <w:sz w:val="20"/>
                      <w:szCs w:val="20"/>
                      <w:lang w:val="sv-SE"/>
                    </w:rPr>
                    <w:t>MR serving cell measurement</w:t>
                  </w:r>
                </w:p>
              </w:tc>
              <w:tc>
                <w:tcPr>
                  <w:tcW w:w="1843" w:type="dxa"/>
                  <w:tcBorders>
                    <w:top w:val="single" w:sz="4" w:space="0" w:color="auto"/>
                    <w:left w:val="single" w:sz="4" w:space="0" w:color="auto"/>
                    <w:bottom w:val="single" w:sz="4" w:space="0" w:color="auto"/>
                    <w:right w:val="single" w:sz="4" w:space="0" w:color="auto"/>
                  </w:tcBorders>
                  <w:hideMark/>
                </w:tcPr>
                <w:p w14:paraId="2DDB7C28" w14:textId="77777777" w:rsidR="001215A0" w:rsidRPr="001215A0" w:rsidRDefault="001215A0" w:rsidP="001215A0">
                  <w:pPr>
                    <w:spacing w:after="0" w:line="254" w:lineRule="auto"/>
                    <w:rPr>
                      <w:rFonts w:eastAsia="Malgun Gothic"/>
                      <w:b/>
                      <w:bCs/>
                      <w:color w:val="000000" w:themeColor="text1"/>
                      <w:sz w:val="20"/>
                      <w:szCs w:val="20"/>
                      <w:lang w:val="en-US" w:eastAsia="ko-KR"/>
                    </w:rPr>
                  </w:pPr>
                  <w:r w:rsidRPr="001215A0">
                    <w:rPr>
                      <w:b/>
                      <w:bCs/>
                      <w:sz w:val="20"/>
                      <w:szCs w:val="20"/>
                      <w:lang w:val="sv-SE"/>
                    </w:rPr>
                    <w:t>MR neighboring cell measurement</w:t>
                  </w:r>
                </w:p>
              </w:tc>
              <w:tc>
                <w:tcPr>
                  <w:tcW w:w="1850" w:type="dxa"/>
                  <w:tcBorders>
                    <w:top w:val="single" w:sz="4" w:space="0" w:color="auto"/>
                    <w:left w:val="single" w:sz="4" w:space="0" w:color="auto"/>
                    <w:bottom w:val="single" w:sz="4" w:space="0" w:color="auto"/>
                    <w:right w:val="single" w:sz="4" w:space="0" w:color="auto"/>
                  </w:tcBorders>
                  <w:hideMark/>
                </w:tcPr>
                <w:p w14:paraId="5836C4F9" w14:textId="77777777" w:rsidR="001215A0" w:rsidRPr="001215A0" w:rsidRDefault="001215A0" w:rsidP="001215A0">
                  <w:pPr>
                    <w:spacing w:after="0" w:line="254" w:lineRule="auto"/>
                    <w:jc w:val="both"/>
                    <w:rPr>
                      <w:rFonts w:eastAsia="Malgun Gothic"/>
                      <w:b/>
                      <w:bCs/>
                      <w:color w:val="000000" w:themeColor="text1"/>
                      <w:sz w:val="20"/>
                      <w:szCs w:val="20"/>
                      <w:lang w:val="en-US" w:eastAsia="ko-KR"/>
                    </w:rPr>
                  </w:pPr>
                  <w:r w:rsidRPr="001215A0">
                    <w:rPr>
                      <w:b/>
                      <w:bCs/>
                      <w:sz w:val="20"/>
                      <w:szCs w:val="20"/>
                      <w:lang w:val="sv-SE"/>
                    </w:rPr>
                    <w:t>LR measurement</w:t>
                  </w:r>
                </w:p>
              </w:tc>
            </w:tr>
            <w:tr w:rsidR="001215A0" w:rsidRPr="001215A0" w14:paraId="492104CE" w14:textId="77777777" w:rsidTr="001215A0">
              <w:tc>
                <w:tcPr>
                  <w:tcW w:w="1985" w:type="dxa"/>
                  <w:tcBorders>
                    <w:top w:val="single" w:sz="4" w:space="0" w:color="auto"/>
                    <w:left w:val="single" w:sz="4" w:space="0" w:color="auto"/>
                    <w:bottom w:val="single" w:sz="4" w:space="0" w:color="auto"/>
                    <w:right w:val="single" w:sz="4" w:space="0" w:color="auto"/>
                  </w:tcBorders>
                  <w:hideMark/>
                </w:tcPr>
                <w:p w14:paraId="6029AE46" w14:textId="77777777" w:rsidR="001215A0" w:rsidRPr="001215A0" w:rsidRDefault="001215A0" w:rsidP="001215A0">
                  <w:pPr>
                    <w:spacing w:after="0" w:line="254" w:lineRule="auto"/>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#2 Relaxed case a</w:t>
                  </w:r>
                </w:p>
              </w:tc>
              <w:tc>
                <w:tcPr>
                  <w:tcW w:w="1559" w:type="dxa"/>
                  <w:tcBorders>
                    <w:top w:val="single" w:sz="4" w:space="0" w:color="auto"/>
                    <w:left w:val="single" w:sz="4" w:space="0" w:color="auto"/>
                    <w:bottom w:val="single" w:sz="4" w:space="0" w:color="auto"/>
                    <w:right w:val="single" w:sz="4" w:space="0" w:color="auto"/>
                  </w:tcBorders>
                  <w:hideMark/>
                </w:tcPr>
                <w:p w14:paraId="3A0FA47F" w14:textId="77777777" w:rsidR="001215A0" w:rsidRPr="001215A0" w:rsidRDefault="001215A0" w:rsidP="001215A0">
                  <w:pPr>
                    <w:spacing w:after="0" w:line="254" w:lineRule="auto"/>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On with relaxation measurement</w:t>
                  </w:r>
                </w:p>
              </w:tc>
              <w:tc>
                <w:tcPr>
                  <w:tcW w:w="1843" w:type="dxa"/>
                  <w:tcBorders>
                    <w:top w:val="single" w:sz="4" w:space="0" w:color="auto"/>
                    <w:left w:val="single" w:sz="4" w:space="0" w:color="auto"/>
                    <w:bottom w:val="single" w:sz="4" w:space="0" w:color="auto"/>
                    <w:right w:val="single" w:sz="4" w:space="0" w:color="auto"/>
                  </w:tcBorders>
                  <w:hideMark/>
                </w:tcPr>
                <w:p w14:paraId="052679A7" w14:textId="77777777" w:rsidR="001215A0" w:rsidRPr="001215A0" w:rsidRDefault="001215A0" w:rsidP="001215A0">
                  <w:pPr>
                    <w:spacing w:after="0" w:line="254" w:lineRule="auto"/>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Off</w:t>
                  </w:r>
                </w:p>
              </w:tc>
              <w:tc>
                <w:tcPr>
                  <w:tcW w:w="1850" w:type="dxa"/>
                  <w:tcBorders>
                    <w:top w:val="single" w:sz="4" w:space="0" w:color="auto"/>
                    <w:left w:val="single" w:sz="4" w:space="0" w:color="auto"/>
                    <w:bottom w:val="single" w:sz="4" w:space="0" w:color="auto"/>
                    <w:right w:val="single" w:sz="4" w:space="0" w:color="auto"/>
                  </w:tcBorders>
                  <w:hideMark/>
                </w:tcPr>
                <w:p w14:paraId="3015A328" w14:textId="77777777" w:rsidR="001215A0" w:rsidRPr="001215A0" w:rsidRDefault="001215A0" w:rsidP="001215A0">
                  <w:pPr>
                    <w:spacing w:after="0" w:line="254" w:lineRule="auto"/>
                    <w:jc w:val="both"/>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ON</w:t>
                  </w:r>
                </w:p>
              </w:tc>
            </w:tr>
            <w:tr w:rsidR="001215A0" w:rsidRPr="001215A0" w14:paraId="09801A26" w14:textId="77777777" w:rsidTr="001215A0">
              <w:tc>
                <w:tcPr>
                  <w:tcW w:w="1985" w:type="dxa"/>
                  <w:tcBorders>
                    <w:top w:val="single" w:sz="4" w:space="0" w:color="auto"/>
                    <w:left w:val="single" w:sz="4" w:space="0" w:color="auto"/>
                    <w:bottom w:val="single" w:sz="4" w:space="0" w:color="auto"/>
                    <w:right w:val="single" w:sz="4" w:space="0" w:color="auto"/>
                  </w:tcBorders>
                  <w:hideMark/>
                </w:tcPr>
                <w:p w14:paraId="12C2336C" w14:textId="77777777" w:rsidR="001215A0" w:rsidRPr="001215A0" w:rsidRDefault="001215A0" w:rsidP="001215A0">
                  <w:pPr>
                    <w:spacing w:after="0" w:line="254" w:lineRule="auto"/>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#3 Relaxed case b</w:t>
                  </w:r>
                </w:p>
              </w:tc>
              <w:tc>
                <w:tcPr>
                  <w:tcW w:w="1559" w:type="dxa"/>
                  <w:tcBorders>
                    <w:top w:val="single" w:sz="4" w:space="0" w:color="auto"/>
                    <w:left w:val="single" w:sz="4" w:space="0" w:color="auto"/>
                    <w:bottom w:val="single" w:sz="4" w:space="0" w:color="auto"/>
                    <w:right w:val="single" w:sz="4" w:space="0" w:color="auto"/>
                  </w:tcBorders>
                  <w:hideMark/>
                </w:tcPr>
                <w:p w14:paraId="3F3B6EE1" w14:textId="77777777" w:rsidR="001215A0" w:rsidRPr="001215A0" w:rsidRDefault="001215A0" w:rsidP="001215A0">
                  <w:pPr>
                    <w:spacing w:after="0" w:line="254" w:lineRule="auto"/>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On with relaxation measurement</w:t>
                  </w:r>
                </w:p>
              </w:tc>
              <w:tc>
                <w:tcPr>
                  <w:tcW w:w="1843" w:type="dxa"/>
                  <w:tcBorders>
                    <w:top w:val="single" w:sz="4" w:space="0" w:color="auto"/>
                    <w:left w:val="single" w:sz="4" w:space="0" w:color="auto"/>
                    <w:bottom w:val="single" w:sz="4" w:space="0" w:color="auto"/>
                    <w:right w:val="single" w:sz="4" w:space="0" w:color="auto"/>
                  </w:tcBorders>
                  <w:hideMark/>
                </w:tcPr>
                <w:p w14:paraId="661993DD" w14:textId="77777777" w:rsidR="001215A0" w:rsidRPr="001215A0" w:rsidRDefault="001215A0" w:rsidP="001215A0">
                  <w:pPr>
                    <w:spacing w:after="0" w:line="254" w:lineRule="auto"/>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On with relaxation measurement</w:t>
                  </w:r>
                </w:p>
              </w:tc>
              <w:tc>
                <w:tcPr>
                  <w:tcW w:w="1850" w:type="dxa"/>
                  <w:tcBorders>
                    <w:top w:val="single" w:sz="4" w:space="0" w:color="auto"/>
                    <w:left w:val="single" w:sz="4" w:space="0" w:color="auto"/>
                    <w:bottom w:val="single" w:sz="4" w:space="0" w:color="auto"/>
                    <w:right w:val="single" w:sz="4" w:space="0" w:color="auto"/>
                  </w:tcBorders>
                  <w:hideMark/>
                </w:tcPr>
                <w:p w14:paraId="7E4A7539" w14:textId="77777777" w:rsidR="001215A0" w:rsidRPr="001215A0" w:rsidRDefault="001215A0" w:rsidP="001215A0">
                  <w:pPr>
                    <w:spacing w:after="0" w:line="254" w:lineRule="auto"/>
                    <w:jc w:val="both"/>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ON</w:t>
                  </w:r>
                </w:p>
              </w:tc>
            </w:tr>
            <w:tr w:rsidR="001215A0" w14:paraId="358A974E" w14:textId="77777777" w:rsidTr="001215A0">
              <w:tc>
                <w:tcPr>
                  <w:tcW w:w="1985" w:type="dxa"/>
                  <w:tcBorders>
                    <w:top w:val="single" w:sz="4" w:space="0" w:color="auto"/>
                    <w:left w:val="single" w:sz="4" w:space="0" w:color="auto"/>
                    <w:bottom w:val="single" w:sz="4" w:space="0" w:color="auto"/>
                    <w:right w:val="single" w:sz="4" w:space="0" w:color="auto"/>
                  </w:tcBorders>
                  <w:hideMark/>
                </w:tcPr>
                <w:p w14:paraId="1277E2D3" w14:textId="77777777" w:rsidR="001215A0" w:rsidRPr="001215A0" w:rsidRDefault="001215A0" w:rsidP="001215A0">
                  <w:pPr>
                    <w:spacing w:after="0" w:line="254" w:lineRule="auto"/>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#4 Relaxed case c</w:t>
                  </w:r>
                </w:p>
              </w:tc>
              <w:tc>
                <w:tcPr>
                  <w:tcW w:w="1559" w:type="dxa"/>
                  <w:tcBorders>
                    <w:top w:val="single" w:sz="4" w:space="0" w:color="auto"/>
                    <w:left w:val="single" w:sz="4" w:space="0" w:color="auto"/>
                    <w:bottom w:val="single" w:sz="4" w:space="0" w:color="auto"/>
                    <w:right w:val="single" w:sz="4" w:space="0" w:color="auto"/>
                  </w:tcBorders>
                  <w:hideMark/>
                </w:tcPr>
                <w:p w14:paraId="1C4562EA" w14:textId="77777777" w:rsidR="001215A0" w:rsidRPr="001215A0" w:rsidRDefault="001215A0" w:rsidP="001215A0">
                  <w:pPr>
                    <w:spacing w:after="0" w:line="254" w:lineRule="auto"/>
                    <w:jc w:val="both"/>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 xml:space="preserve">Off </w:t>
                  </w:r>
                </w:p>
              </w:tc>
              <w:tc>
                <w:tcPr>
                  <w:tcW w:w="1843" w:type="dxa"/>
                  <w:tcBorders>
                    <w:top w:val="single" w:sz="4" w:space="0" w:color="auto"/>
                    <w:left w:val="single" w:sz="4" w:space="0" w:color="auto"/>
                    <w:bottom w:val="single" w:sz="4" w:space="0" w:color="auto"/>
                    <w:right w:val="single" w:sz="4" w:space="0" w:color="auto"/>
                  </w:tcBorders>
                  <w:hideMark/>
                </w:tcPr>
                <w:p w14:paraId="2CF06F92" w14:textId="77777777" w:rsidR="001215A0" w:rsidRPr="001215A0" w:rsidRDefault="001215A0" w:rsidP="001215A0">
                  <w:pPr>
                    <w:spacing w:after="0" w:line="254" w:lineRule="auto"/>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On, FFS the condition and the details</w:t>
                  </w:r>
                </w:p>
              </w:tc>
              <w:tc>
                <w:tcPr>
                  <w:tcW w:w="1850" w:type="dxa"/>
                  <w:tcBorders>
                    <w:top w:val="single" w:sz="4" w:space="0" w:color="auto"/>
                    <w:left w:val="single" w:sz="4" w:space="0" w:color="auto"/>
                    <w:bottom w:val="single" w:sz="4" w:space="0" w:color="auto"/>
                    <w:right w:val="single" w:sz="4" w:space="0" w:color="auto"/>
                  </w:tcBorders>
                  <w:hideMark/>
                </w:tcPr>
                <w:p w14:paraId="1EF4EF3C" w14:textId="77777777" w:rsidR="001215A0" w:rsidRPr="001215A0" w:rsidRDefault="001215A0" w:rsidP="001215A0">
                  <w:pPr>
                    <w:spacing w:after="0" w:line="254" w:lineRule="auto"/>
                    <w:jc w:val="both"/>
                    <w:rPr>
                      <w:rFonts w:eastAsia="Malgun Gothic"/>
                      <w:color w:val="000000" w:themeColor="text1"/>
                      <w:sz w:val="18"/>
                      <w:szCs w:val="18"/>
                      <w:lang w:val="en-US" w:eastAsia="ko-KR"/>
                    </w:rPr>
                  </w:pPr>
                  <w:r w:rsidRPr="001215A0">
                    <w:rPr>
                      <w:rFonts w:eastAsia="Malgun Gothic"/>
                      <w:color w:val="000000" w:themeColor="text1"/>
                      <w:sz w:val="18"/>
                      <w:szCs w:val="18"/>
                      <w:lang w:val="en-US" w:eastAsia="ko-KR"/>
                    </w:rPr>
                    <w:t>ON</w:t>
                  </w:r>
                </w:p>
              </w:tc>
            </w:tr>
          </w:tbl>
          <w:p w14:paraId="2B9FCAE6" w14:textId="77777777" w:rsidR="00031E07" w:rsidRDefault="00031E07">
            <w:pPr>
              <w:jc w:val="both"/>
              <w:rPr>
                <w:rFonts w:eastAsia="DengXian"/>
                <w:color w:val="000000" w:themeColor="text1"/>
                <w:sz w:val="21"/>
                <w:szCs w:val="21"/>
                <w:lang w:val="en-US" w:eastAsia="ja-JP"/>
              </w:rPr>
            </w:pPr>
          </w:p>
          <w:p w14:paraId="19D2410E" w14:textId="77777777" w:rsidR="001215A0" w:rsidRDefault="001215A0">
            <w:pPr>
              <w:jc w:val="both"/>
              <w:rPr>
                <w:rFonts w:eastAsia="DengXian"/>
                <w:color w:val="000000" w:themeColor="text1"/>
                <w:sz w:val="21"/>
                <w:szCs w:val="21"/>
                <w:lang w:val="en-US" w:eastAsia="ja-JP"/>
              </w:rPr>
            </w:pPr>
          </w:p>
          <w:p w14:paraId="2C37AA67" w14:textId="77777777" w:rsidR="00031E07" w:rsidRPr="00031E07" w:rsidRDefault="00031E07">
            <w:pPr>
              <w:rPr>
                <w:b/>
                <w:i/>
                <w:iCs/>
                <w:color w:val="70AD47" w:themeColor="accent6"/>
                <w:u w:val="single"/>
                <w:lang w:val="en-US" w:eastAsia="ko-KR"/>
              </w:rPr>
            </w:pPr>
            <w:r w:rsidRPr="00031E07">
              <w:rPr>
                <w:i/>
                <w:iCs/>
                <w:color w:val="70AD47" w:themeColor="accent6"/>
                <w:lang w:val="en-US" w:eastAsia="ja-JP"/>
              </w:rPr>
              <w:t>RAN4#112 agreement</w:t>
            </w:r>
          </w:p>
          <w:p w14:paraId="6E910AE1" w14:textId="77777777" w:rsidR="00031E07" w:rsidRDefault="00031E07">
            <w:pPr>
              <w:rPr>
                <w:rFonts w:ascii="Times New Roman" w:eastAsia="SimSun" w:hAnsi="Times New Roman" w:cs="Times New Roman"/>
                <w:b/>
                <w:color w:val="000000" w:themeColor="text1"/>
                <w:kern w:val="0"/>
                <w:sz w:val="20"/>
                <w:szCs w:val="20"/>
                <w:u w:val="single"/>
                <w:lang w:val="en-US" w:eastAsia="ko-KR"/>
                <w14:ligatures w14:val="none"/>
              </w:rPr>
            </w:pPr>
            <w:r>
              <w:rPr>
                <w:b/>
                <w:color w:val="000000" w:themeColor="text1"/>
                <w:u w:val="single"/>
                <w:lang w:val="en-US" w:eastAsia="ko-KR"/>
              </w:rPr>
              <w:t xml:space="preserve">Issue 1-1-1: Cases/states to be considered for RRM relaxation and serving cell measurement </w:t>
            </w:r>
            <w:proofErr w:type="gramStart"/>
            <w:r>
              <w:rPr>
                <w:b/>
                <w:color w:val="000000" w:themeColor="text1"/>
                <w:u w:val="single"/>
                <w:lang w:val="en-US" w:eastAsia="ko-KR"/>
              </w:rPr>
              <w:t>offloading</w:t>
            </w:r>
            <w:proofErr w:type="gramEnd"/>
          </w:p>
          <w:p w14:paraId="4D5B554B" w14:textId="77777777" w:rsidR="00031E07" w:rsidRDefault="00031E07">
            <w:pPr>
              <w:snapToGrid w:val="0"/>
              <w:spacing w:after="120"/>
              <w:ind w:left="576"/>
              <w:rPr>
                <w:color w:val="000000"/>
                <w:sz w:val="21"/>
                <w:szCs w:val="21"/>
                <w:lang w:val="en-US" w:eastAsia="ja-JP"/>
              </w:rPr>
            </w:pPr>
            <w:r>
              <w:rPr>
                <w:color w:val="000000"/>
                <w:sz w:val="21"/>
                <w:szCs w:val="21"/>
                <w:lang w:val="en-US" w:eastAsia="ja-JP"/>
              </w:rPr>
              <w:t>Agreement:</w:t>
            </w:r>
          </w:p>
          <w:p w14:paraId="43E40C51" w14:textId="77777777" w:rsidR="00031E07" w:rsidRDefault="00031E07" w:rsidP="00031E07">
            <w:pPr>
              <w:pStyle w:val="ListParagraph"/>
              <w:numPr>
                <w:ilvl w:val="0"/>
                <w:numId w:val="46"/>
              </w:numPr>
              <w:autoSpaceDN w:val="0"/>
              <w:snapToGrid w:val="0"/>
              <w:spacing w:after="120" w:line="240" w:lineRule="auto"/>
              <w:rPr>
                <w:color w:val="000000"/>
                <w:sz w:val="20"/>
                <w:szCs w:val="21"/>
                <w:lang w:val="en-US" w:eastAsia="en-US"/>
              </w:rPr>
            </w:pPr>
            <w:r>
              <w:rPr>
                <w:color w:val="000000"/>
                <w:szCs w:val="21"/>
                <w:lang w:val="en-US" w:eastAsia="ja-JP"/>
              </w:rPr>
              <w:t>Support case #3</w:t>
            </w:r>
          </w:p>
          <w:p w14:paraId="1EB952C0" w14:textId="77777777" w:rsidR="00031E07" w:rsidRDefault="00031E07" w:rsidP="00031E07">
            <w:pPr>
              <w:pStyle w:val="ListParagraph"/>
              <w:numPr>
                <w:ilvl w:val="1"/>
                <w:numId w:val="47"/>
              </w:numPr>
              <w:autoSpaceDN w:val="0"/>
              <w:snapToGrid w:val="0"/>
              <w:spacing w:after="120" w:line="240" w:lineRule="auto"/>
              <w:rPr>
                <w:color w:val="000000"/>
                <w:szCs w:val="21"/>
                <w:lang w:val="en-US" w:eastAsia="ja-JP"/>
              </w:rPr>
            </w:pPr>
            <w:r>
              <w:rPr>
                <w:rFonts w:eastAsia="DengXian"/>
                <w:color w:val="000000"/>
                <w:lang w:val="en-US" w:eastAsia="ja-JP"/>
              </w:rPr>
              <w:t>For serving cell measurement, further discuss:</w:t>
            </w:r>
          </w:p>
          <w:p w14:paraId="46A842A0" w14:textId="77777777" w:rsidR="00031E07" w:rsidRDefault="00031E07" w:rsidP="00031E07">
            <w:pPr>
              <w:pStyle w:val="ListParagraph"/>
              <w:numPr>
                <w:ilvl w:val="2"/>
                <w:numId w:val="48"/>
              </w:numPr>
              <w:autoSpaceDN w:val="0"/>
              <w:snapToGrid w:val="0"/>
              <w:spacing w:after="120" w:line="240" w:lineRule="auto"/>
              <w:rPr>
                <w:color w:val="000000"/>
                <w:szCs w:val="21"/>
                <w:lang w:val="en-US" w:eastAsia="ja-JP"/>
              </w:rPr>
            </w:pPr>
            <w:r>
              <w:rPr>
                <w:rFonts w:eastAsia="DengXian"/>
                <w:color w:val="000000"/>
                <w:lang w:val="en-US" w:eastAsia="ja-JP"/>
              </w:rPr>
              <w:t>Option 1: Further discuss whether to combine the measurements across the two radios, i.e., MR and WUR</w:t>
            </w:r>
          </w:p>
          <w:p w14:paraId="4010DAC7" w14:textId="77777777" w:rsidR="00031E07" w:rsidRDefault="00031E07" w:rsidP="00031E07">
            <w:pPr>
              <w:pStyle w:val="ListParagraph"/>
              <w:numPr>
                <w:ilvl w:val="2"/>
                <w:numId w:val="48"/>
              </w:numPr>
              <w:autoSpaceDN w:val="0"/>
              <w:snapToGrid w:val="0"/>
              <w:spacing w:after="120" w:line="240" w:lineRule="auto"/>
              <w:rPr>
                <w:color w:val="000000"/>
                <w:szCs w:val="21"/>
                <w:lang w:val="en-US" w:eastAsia="ja-JP"/>
              </w:rPr>
            </w:pPr>
            <w:r>
              <w:rPr>
                <w:rFonts w:eastAsia="DengXian"/>
                <w:color w:val="000000"/>
                <w:lang w:val="en-US" w:eastAsia="ja-JP"/>
              </w:rPr>
              <w:t>Option 2: From RAN4 requirement perspective, not consider combining the measurements across the two radios, i.e., MR and WUR</w:t>
            </w:r>
          </w:p>
          <w:p w14:paraId="61A5D849" w14:textId="77777777" w:rsidR="00031E07" w:rsidRDefault="00031E07" w:rsidP="00031E07">
            <w:pPr>
              <w:pStyle w:val="ListParagraph"/>
              <w:numPr>
                <w:ilvl w:val="2"/>
                <w:numId w:val="48"/>
              </w:numPr>
              <w:autoSpaceDN w:val="0"/>
              <w:snapToGrid w:val="0"/>
              <w:spacing w:after="120" w:line="240" w:lineRule="auto"/>
              <w:rPr>
                <w:color w:val="000000"/>
                <w:szCs w:val="21"/>
                <w:lang w:val="en-US" w:eastAsia="ja-JP"/>
              </w:rPr>
            </w:pPr>
            <w:r>
              <w:rPr>
                <w:rFonts w:eastAsia="DengXian"/>
                <w:color w:val="000000"/>
                <w:lang w:val="en-US" w:eastAsia="ja-JP"/>
              </w:rPr>
              <w:t>Option 3: It is up to UE implementation whether to combine the measurement across the two radios.</w:t>
            </w:r>
          </w:p>
          <w:p w14:paraId="32675A1D" w14:textId="77777777" w:rsidR="00031E07" w:rsidRDefault="00031E07" w:rsidP="00031E07">
            <w:pPr>
              <w:pStyle w:val="ListParagraph"/>
              <w:numPr>
                <w:ilvl w:val="2"/>
                <w:numId w:val="48"/>
              </w:numPr>
              <w:autoSpaceDN w:val="0"/>
              <w:snapToGrid w:val="0"/>
              <w:spacing w:after="120" w:line="240" w:lineRule="auto"/>
              <w:rPr>
                <w:color w:val="000000"/>
                <w:szCs w:val="21"/>
                <w:lang w:val="en-US" w:eastAsia="ja-JP"/>
              </w:rPr>
            </w:pPr>
            <w:r>
              <w:rPr>
                <w:rFonts w:eastAsia="DengXian"/>
                <w:color w:val="000000"/>
                <w:lang w:val="en-US" w:eastAsia="ja-JP"/>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408"/>
            </w:tblGrid>
            <w:tr w:rsidR="00031E07" w14:paraId="78D8D904" w14:textId="77777777">
              <w:trPr>
                <w:jc w:val="center"/>
              </w:trPr>
              <w:tc>
                <w:tcPr>
                  <w:tcW w:w="1985" w:type="dxa"/>
                  <w:tcBorders>
                    <w:top w:val="single" w:sz="4" w:space="0" w:color="auto"/>
                    <w:left w:val="single" w:sz="4" w:space="0" w:color="auto"/>
                    <w:bottom w:val="single" w:sz="4" w:space="0" w:color="auto"/>
                    <w:right w:val="single" w:sz="4" w:space="0" w:color="auto"/>
                  </w:tcBorders>
                  <w:hideMark/>
                </w:tcPr>
                <w:p w14:paraId="41F8CC19" w14:textId="77777777" w:rsidR="00031E07" w:rsidRDefault="00031E07">
                  <w:pPr>
                    <w:snapToGrid w:val="0"/>
                    <w:spacing w:after="120"/>
                    <w:rPr>
                      <w:rFonts w:eastAsia="Malgun Gothic"/>
                      <w:color w:val="000000"/>
                      <w:sz w:val="21"/>
                      <w:szCs w:val="21"/>
                      <w:lang w:val="en-US" w:eastAsia="ko-KR"/>
                    </w:rPr>
                  </w:pPr>
                  <w:r>
                    <w:rPr>
                      <w:sz w:val="21"/>
                      <w:szCs w:val="21"/>
                      <w:lang w:val="en-US" w:eastAsia="ja-JP"/>
                    </w:rPr>
                    <w:t>RRM measurement case index</w:t>
                  </w:r>
                </w:p>
              </w:tc>
              <w:tc>
                <w:tcPr>
                  <w:tcW w:w="1843" w:type="dxa"/>
                  <w:tcBorders>
                    <w:top w:val="single" w:sz="4" w:space="0" w:color="auto"/>
                    <w:left w:val="single" w:sz="4" w:space="0" w:color="auto"/>
                    <w:bottom w:val="single" w:sz="4" w:space="0" w:color="auto"/>
                    <w:right w:val="single" w:sz="4" w:space="0" w:color="auto"/>
                  </w:tcBorders>
                  <w:hideMark/>
                </w:tcPr>
                <w:p w14:paraId="00BAB274" w14:textId="77777777" w:rsidR="00031E07" w:rsidRDefault="00031E07">
                  <w:pPr>
                    <w:snapToGrid w:val="0"/>
                    <w:spacing w:after="120"/>
                    <w:rPr>
                      <w:rFonts w:eastAsia="Malgun Gothic"/>
                      <w:color w:val="000000"/>
                      <w:sz w:val="21"/>
                      <w:szCs w:val="21"/>
                      <w:lang w:val="en-US" w:eastAsia="ko-KR"/>
                    </w:rPr>
                  </w:pPr>
                  <w:r>
                    <w:rPr>
                      <w:sz w:val="21"/>
                      <w:szCs w:val="21"/>
                      <w:lang w:val="en-US" w:eastAsia="ja-JP"/>
                    </w:rPr>
                    <w:t>MR serving cell measurement</w:t>
                  </w:r>
                </w:p>
              </w:tc>
              <w:tc>
                <w:tcPr>
                  <w:tcW w:w="2126" w:type="dxa"/>
                  <w:tcBorders>
                    <w:top w:val="single" w:sz="4" w:space="0" w:color="auto"/>
                    <w:left w:val="single" w:sz="4" w:space="0" w:color="auto"/>
                    <w:bottom w:val="single" w:sz="4" w:space="0" w:color="auto"/>
                    <w:right w:val="single" w:sz="4" w:space="0" w:color="auto"/>
                  </w:tcBorders>
                  <w:hideMark/>
                </w:tcPr>
                <w:p w14:paraId="155CB7AD" w14:textId="77777777" w:rsidR="00031E07" w:rsidRDefault="00031E07">
                  <w:pPr>
                    <w:snapToGrid w:val="0"/>
                    <w:spacing w:after="120"/>
                    <w:rPr>
                      <w:rFonts w:eastAsia="Malgun Gothic"/>
                      <w:color w:val="000000"/>
                      <w:sz w:val="21"/>
                      <w:szCs w:val="21"/>
                      <w:lang w:val="en-US" w:eastAsia="ko-KR"/>
                    </w:rPr>
                  </w:pPr>
                  <w:r>
                    <w:rPr>
                      <w:sz w:val="21"/>
                      <w:szCs w:val="21"/>
                      <w:lang w:val="en-US" w:eastAsia="ja-JP"/>
                    </w:rPr>
                    <w:t>MR neighboring cell measurement</w:t>
                  </w:r>
                </w:p>
              </w:tc>
              <w:tc>
                <w:tcPr>
                  <w:tcW w:w="1336" w:type="dxa"/>
                  <w:tcBorders>
                    <w:top w:val="single" w:sz="4" w:space="0" w:color="auto"/>
                    <w:left w:val="single" w:sz="4" w:space="0" w:color="auto"/>
                    <w:bottom w:val="single" w:sz="4" w:space="0" w:color="auto"/>
                    <w:right w:val="single" w:sz="4" w:space="0" w:color="auto"/>
                  </w:tcBorders>
                  <w:hideMark/>
                </w:tcPr>
                <w:p w14:paraId="20FF2FC8" w14:textId="77777777" w:rsidR="00031E07" w:rsidRDefault="00031E07">
                  <w:pPr>
                    <w:snapToGrid w:val="0"/>
                    <w:spacing w:after="120"/>
                    <w:jc w:val="both"/>
                    <w:rPr>
                      <w:rFonts w:eastAsia="Malgun Gothic"/>
                      <w:color w:val="000000"/>
                      <w:sz w:val="21"/>
                      <w:szCs w:val="21"/>
                      <w:lang w:val="en-US" w:eastAsia="ko-KR"/>
                    </w:rPr>
                  </w:pPr>
                  <w:r>
                    <w:rPr>
                      <w:sz w:val="21"/>
                      <w:szCs w:val="21"/>
                      <w:lang w:val="en-US" w:eastAsia="ja-JP"/>
                    </w:rPr>
                    <w:t>LR measurement</w:t>
                  </w:r>
                </w:p>
              </w:tc>
            </w:tr>
            <w:tr w:rsidR="00031E07" w14:paraId="6D2753C1" w14:textId="77777777">
              <w:trPr>
                <w:jc w:val="center"/>
              </w:trPr>
              <w:tc>
                <w:tcPr>
                  <w:tcW w:w="1985" w:type="dxa"/>
                  <w:tcBorders>
                    <w:top w:val="single" w:sz="4" w:space="0" w:color="auto"/>
                    <w:left w:val="single" w:sz="4" w:space="0" w:color="auto"/>
                    <w:bottom w:val="single" w:sz="4" w:space="0" w:color="auto"/>
                    <w:right w:val="single" w:sz="4" w:space="0" w:color="auto"/>
                  </w:tcBorders>
                  <w:hideMark/>
                </w:tcPr>
                <w:p w14:paraId="320A7058" w14:textId="77777777" w:rsidR="00031E07" w:rsidRDefault="00031E07">
                  <w:pPr>
                    <w:snapToGrid w:val="0"/>
                    <w:spacing w:after="120"/>
                    <w:rPr>
                      <w:rFonts w:eastAsia="Malgun Gothic"/>
                      <w:color w:val="000000"/>
                      <w:sz w:val="21"/>
                      <w:szCs w:val="21"/>
                      <w:lang w:val="en-US" w:eastAsia="ko-KR"/>
                    </w:rPr>
                  </w:pPr>
                  <w:r>
                    <w:rPr>
                      <w:rFonts w:eastAsia="Malgun Gothic"/>
                      <w:color w:val="000000"/>
                      <w:sz w:val="21"/>
                      <w:szCs w:val="21"/>
                      <w:lang w:val="en-US" w:eastAsia="ko-KR"/>
                    </w:rPr>
                    <w:t>#3 Relaxed case b</w:t>
                  </w:r>
                </w:p>
              </w:tc>
              <w:tc>
                <w:tcPr>
                  <w:tcW w:w="1843" w:type="dxa"/>
                  <w:tcBorders>
                    <w:top w:val="single" w:sz="4" w:space="0" w:color="auto"/>
                    <w:left w:val="single" w:sz="4" w:space="0" w:color="auto"/>
                    <w:bottom w:val="single" w:sz="4" w:space="0" w:color="auto"/>
                    <w:right w:val="single" w:sz="4" w:space="0" w:color="auto"/>
                  </w:tcBorders>
                  <w:hideMark/>
                </w:tcPr>
                <w:p w14:paraId="5584A1D4" w14:textId="77777777" w:rsidR="00031E07" w:rsidRDefault="00031E07">
                  <w:pPr>
                    <w:snapToGrid w:val="0"/>
                    <w:spacing w:after="120"/>
                    <w:rPr>
                      <w:rFonts w:eastAsia="Malgun Gothic"/>
                      <w:color w:val="000000"/>
                      <w:sz w:val="21"/>
                      <w:szCs w:val="21"/>
                      <w:lang w:val="en-US" w:eastAsia="ko-KR"/>
                    </w:rPr>
                  </w:pPr>
                  <w:r>
                    <w:rPr>
                      <w:rFonts w:eastAsia="Malgun Gothic"/>
                      <w:color w:val="000000"/>
                      <w:sz w:val="21"/>
                      <w:szCs w:val="21"/>
                      <w:lang w:val="en-US" w:eastAsia="ko-KR"/>
                    </w:rPr>
                    <w:t>On with relaxation measurement</w:t>
                  </w:r>
                </w:p>
              </w:tc>
              <w:tc>
                <w:tcPr>
                  <w:tcW w:w="2126" w:type="dxa"/>
                  <w:tcBorders>
                    <w:top w:val="single" w:sz="4" w:space="0" w:color="auto"/>
                    <w:left w:val="single" w:sz="4" w:space="0" w:color="auto"/>
                    <w:bottom w:val="single" w:sz="4" w:space="0" w:color="auto"/>
                    <w:right w:val="single" w:sz="4" w:space="0" w:color="auto"/>
                  </w:tcBorders>
                  <w:hideMark/>
                </w:tcPr>
                <w:p w14:paraId="5C413541" w14:textId="77777777" w:rsidR="00031E07" w:rsidRDefault="00031E07">
                  <w:pPr>
                    <w:snapToGrid w:val="0"/>
                    <w:spacing w:after="120"/>
                    <w:rPr>
                      <w:rFonts w:eastAsia="Malgun Gothic"/>
                      <w:color w:val="000000"/>
                      <w:sz w:val="21"/>
                      <w:szCs w:val="21"/>
                      <w:lang w:val="en-US" w:eastAsia="ko-KR"/>
                    </w:rPr>
                  </w:pPr>
                  <w:r>
                    <w:rPr>
                      <w:rFonts w:eastAsia="Malgun Gothic"/>
                      <w:color w:val="000000"/>
                      <w:sz w:val="21"/>
                      <w:szCs w:val="21"/>
                      <w:lang w:val="en-US" w:eastAsia="ko-KR"/>
                    </w:rPr>
                    <w:t>On with relaxation measurement</w:t>
                  </w:r>
                </w:p>
              </w:tc>
              <w:tc>
                <w:tcPr>
                  <w:tcW w:w="1336" w:type="dxa"/>
                  <w:tcBorders>
                    <w:top w:val="single" w:sz="4" w:space="0" w:color="auto"/>
                    <w:left w:val="single" w:sz="4" w:space="0" w:color="auto"/>
                    <w:bottom w:val="single" w:sz="4" w:space="0" w:color="auto"/>
                    <w:right w:val="single" w:sz="4" w:space="0" w:color="auto"/>
                  </w:tcBorders>
                  <w:hideMark/>
                </w:tcPr>
                <w:p w14:paraId="4CA4E663" w14:textId="77777777" w:rsidR="00031E07" w:rsidRDefault="00031E07">
                  <w:pPr>
                    <w:snapToGrid w:val="0"/>
                    <w:spacing w:after="120"/>
                    <w:jc w:val="both"/>
                    <w:rPr>
                      <w:rFonts w:eastAsia="Malgun Gothic"/>
                      <w:color w:val="000000"/>
                      <w:sz w:val="21"/>
                      <w:szCs w:val="21"/>
                      <w:lang w:val="en-US" w:eastAsia="ko-KR"/>
                    </w:rPr>
                  </w:pPr>
                  <w:r>
                    <w:rPr>
                      <w:rFonts w:eastAsia="Malgun Gothic"/>
                      <w:color w:val="000000"/>
                      <w:sz w:val="21"/>
                      <w:szCs w:val="21"/>
                      <w:lang w:val="en-US" w:eastAsia="ko-KR"/>
                    </w:rPr>
                    <w:t>ON</w:t>
                  </w:r>
                </w:p>
              </w:tc>
            </w:tr>
          </w:tbl>
          <w:p w14:paraId="5B8E5BA7" w14:textId="7C60AD35" w:rsidR="00031E07" w:rsidRPr="00A02864" w:rsidRDefault="00031E07" w:rsidP="00A02864">
            <w:pPr>
              <w:pStyle w:val="ListParagraph"/>
              <w:numPr>
                <w:ilvl w:val="1"/>
                <w:numId w:val="47"/>
              </w:numPr>
              <w:autoSpaceDN w:val="0"/>
              <w:snapToGrid w:val="0"/>
              <w:spacing w:after="120" w:line="240" w:lineRule="auto"/>
              <w:rPr>
                <w:rFonts w:eastAsia="MS Mincho"/>
                <w:color w:val="000000"/>
                <w:sz w:val="20"/>
                <w:szCs w:val="21"/>
                <w:lang w:val="en-US" w:eastAsia="en-US"/>
              </w:rPr>
            </w:pPr>
            <w:r>
              <w:rPr>
                <w:color w:val="000000"/>
                <w:szCs w:val="21"/>
                <w:lang w:val="en-US" w:eastAsia="ja-JP"/>
              </w:rPr>
              <w:t>Note: In RAN4 understanding, the discussion of the related measurement criteria (i.e., whether to use the legacy or new criteria) is out of RAN4 responsibility.</w:t>
            </w:r>
          </w:p>
          <w:p w14:paraId="7F5F0BE7" w14:textId="77777777" w:rsidR="00031E07" w:rsidRDefault="00031E07">
            <w:pPr>
              <w:rPr>
                <w:i/>
                <w:color w:val="000000" w:themeColor="text1"/>
                <w:lang w:val="en-US" w:eastAsia="ja-JP"/>
              </w:rPr>
            </w:pPr>
            <w:r>
              <w:rPr>
                <w:i/>
                <w:color w:val="000000" w:themeColor="text1"/>
                <w:lang w:val="en-US" w:eastAsia="ja-JP"/>
              </w:rPr>
              <w:t xml:space="preserve">Recommendations: </w:t>
            </w:r>
          </w:p>
          <w:p w14:paraId="7C588EE1" w14:textId="77777777" w:rsidR="00031E07" w:rsidRDefault="00031E07">
            <w:pPr>
              <w:rPr>
                <w:i/>
                <w:color w:val="000000" w:themeColor="text1"/>
                <w:lang w:val="en-US" w:eastAsia="ja-JP"/>
              </w:rPr>
            </w:pPr>
            <w:r>
              <w:rPr>
                <w:i/>
                <w:color w:val="000000" w:themeColor="text1"/>
                <w:lang w:val="en-US" w:eastAsia="ja-JP"/>
              </w:rPr>
              <w:t xml:space="preserve">Suggest </w:t>
            </w:r>
            <w:proofErr w:type="gramStart"/>
            <w:r>
              <w:rPr>
                <w:i/>
                <w:color w:val="000000" w:themeColor="text1"/>
                <w:lang w:val="en-US" w:eastAsia="ja-JP"/>
              </w:rPr>
              <w:t>to discuss</w:t>
            </w:r>
            <w:proofErr w:type="gramEnd"/>
            <w:r>
              <w:rPr>
                <w:i/>
                <w:color w:val="000000" w:themeColor="text1"/>
                <w:lang w:val="en-US" w:eastAsia="ja-JP"/>
              </w:rPr>
              <w:t xml:space="preserve"> issues related to higher priority frequency layers under 1-1-11.</w:t>
            </w:r>
          </w:p>
          <w:p w14:paraId="6C6E5894" w14:textId="77777777" w:rsidR="00031E07" w:rsidRDefault="00031E07">
            <w:pPr>
              <w:rPr>
                <w:i/>
                <w:color w:val="000000" w:themeColor="text1"/>
                <w:lang w:val="en-US" w:eastAsia="ja-JP"/>
              </w:rPr>
            </w:pPr>
            <w:r w:rsidRPr="00C22565">
              <w:rPr>
                <w:i/>
                <w:color w:val="000000" w:themeColor="text1"/>
                <w:highlight w:val="yellow"/>
                <w:lang w:val="en-US" w:eastAsia="ja-JP"/>
              </w:rPr>
              <w:t>Continue discuss case 2 and other issues</w:t>
            </w:r>
            <w:r>
              <w:rPr>
                <w:i/>
                <w:color w:val="000000" w:themeColor="text1"/>
                <w:lang w:val="en-US" w:eastAsia="ja-JP"/>
              </w:rPr>
              <w:t>.</w:t>
            </w:r>
          </w:p>
        </w:tc>
      </w:tr>
    </w:tbl>
    <w:p w14:paraId="6EDB4884" w14:textId="77777777" w:rsidR="00031E07" w:rsidRDefault="00031E07" w:rsidP="00031E07">
      <w:pPr>
        <w:jc w:val="both"/>
      </w:pPr>
    </w:p>
    <w:p w14:paraId="3AC00935" w14:textId="3749E084" w:rsidR="00C22565" w:rsidRDefault="00C22565" w:rsidP="00031E07">
      <w:pPr>
        <w:jc w:val="both"/>
      </w:pPr>
      <w:r>
        <w:t xml:space="preserve">Regarding whether to discuss other cases for LP-WUS, in our view the current agreed cases in RAN4, Case#1 and Case#3, are sufficient to consider both scenarios of MR RRM offloading and MR RRM relaxation of serving and neighbour cell measurements, which align with the WID objective in </w:t>
      </w:r>
      <w:r>
        <w:fldChar w:fldCharType="begin"/>
      </w:r>
      <w:r>
        <w:instrText xml:space="preserve"> REF _Ref91246572 \n \h </w:instrText>
      </w:r>
      <w:r>
        <w:fldChar w:fldCharType="separate"/>
      </w:r>
      <w:r>
        <w:t>[2]</w:t>
      </w:r>
      <w:r>
        <w:fldChar w:fldCharType="end"/>
      </w:r>
      <w:r>
        <w:t xml:space="preserve">. Therefore, RAN4 should focus on defining the core requirements </w:t>
      </w:r>
      <w:r w:rsidRPr="00C22565">
        <w:t xml:space="preserve">for the </w:t>
      </w:r>
      <w:r>
        <w:t xml:space="preserve">current </w:t>
      </w:r>
      <w:r w:rsidRPr="00C22565">
        <w:t>agreed case</w:t>
      </w:r>
      <w:r>
        <w:t xml:space="preserve">s, and if </w:t>
      </w:r>
      <w:r w:rsidRPr="00C22565">
        <w:t>some issues are detected later to consider other cases, it can be revisited.</w:t>
      </w:r>
      <w:r w:rsidR="00E82621">
        <w:t xml:space="preserve"> </w:t>
      </w:r>
    </w:p>
    <w:p w14:paraId="14C22707" w14:textId="6E4C2D9E" w:rsidR="00C22565" w:rsidRDefault="00C22565" w:rsidP="00031E07">
      <w:pPr>
        <w:jc w:val="both"/>
        <w:rPr>
          <w:b/>
          <w:bCs/>
        </w:rPr>
      </w:pPr>
      <w:r w:rsidRPr="00C22565">
        <w:rPr>
          <w:b/>
          <w:bCs/>
        </w:rPr>
        <w:t>Proposal 1: No need to discuss further cases for LP-WUS</w:t>
      </w:r>
      <w:r w:rsidR="00E82621">
        <w:rPr>
          <w:b/>
          <w:bCs/>
        </w:rPr>
        <w:t xml:space="preserve"> in RAN4</w:t>
      </w:r>
      <w:r w:rsidRPr="00C22565">
        <w:rPr>
          <w:b/>
          <w:bCs/>
        </w:rPr>
        <w:t xml:space="preserve">. </w:t>
      </w:r>
    </w:p>
    <w:p w14:paraId="4455C6AC" w14:textId="43802044" w:rsidR="00B337AA" w:rsidRPr="00B337AA" w:rsidRDefault="00B337AA" w:rsidP="00031E07">
      <w:pPr>
        <w:jc w:val="both"/>
      </w:pPr>
    </w:p>
    <w:p w14:paraId="22CD4185" w14:textId="05C26258" w:rsidR="00C22565" w:rsidRPr="00C22565" w:rsidRDefault="00B337AA" w:rsidP="00C22565">
      <w:pPr>
        <w:pStyle w:val="Heading2"/>
        <w:numPr>
          <w:ilvl w:val="1"/>
          <w:numId w:val="3"/>
        </w:numPr>
        <w:rPr>
          <w:lang w:val="en-US"/>
        </w:rPr>
      </w:pPr>
      <w:r w:rsidRPr="00B337AA">
        <w:rPr>
          <w:lang w:val="en-US"/>
        </w:rPr>
        <w:t>Entry/Exit conditions</w:t>
      </w:r>
    </w:p>
    <w:p w14:paraId="20AAA3EA" w14:textId="2D3D7A59" w:rsidR="00A80EB8" w:rsidRDefault="005A6ADC" w:rsidP="00A80EB8">
      <w:pPr>
        <w:jc w:val="both"/>
        <w:rPr>
          <w:lang w:val="en-US"/>
        </w:rPr>
      </w:pPr>
      <w:r>
        <w:rPr>
          <w:lang w:val="en-US"/>
        </w:rPr>
        <w:t>Following the progress in RAN4</w:t>
      </w:r>
      <w:r w:rsidR="00A80EB8">
        <w:rPr>
          <w:lang w:val="en-US"/>
        </w:rPr>
        <w:t xml:space="preserve">, </w:t>
      </w:r>
      <w:r w:rsidR="004C71EB">
        <w:rPr>
          <w:lang w:val="en-US"/>
        </w:rPr>
        <w:t>LP-WUS capable UE</w:t>
      </w:r>
      <w:r>
        <w:rPr>
          <w:lang w:val="en-US"/>
        </w:rPr>
        <w:t xml:space="preserve"> </w:t>
      </w:r>
      <w:r w:rsidR="00BA1E1B">
        <w:rPr>
          <w:lang w:val="en-US"/>
        </w:rPr>
        <w:t>may</w:t>
      </w:r>
      <w:r w:rsidR="004C71EB">
        <w:rPr>
          <w:lang w:val="en-US"/>
        </w:rPr>
        <w:t xml:space="preserve"> operate</w:t>
      </w:r>
      <w:r>
        <w:rPr>
          <w:lang w:val="en-US"/>
        </w:rPr>
        <w:t xml:space="preserve"> </w:t>
      </w:r>
      <w:r w:rsidR="00BA1E1B">
        <w:rPr>
          <w:lang w:val="en-US"/>
        </w:rPr>
        <w:t>under</w:t>
      </w:r>
      <w:r w:rsidR="00A80EB8">
        <w:rPr>
          <w:lang w:val="en-US"/>
        </w:rPr>
        <w:t xml:space="preserve"> three </w:t>
      </w:r>
      <w:r w:rsidR="00BA1E1B">
        <w:rPr>
          <w:lang w:val="en-US"/>
        </w:rPr>
        <w:t>scenarios</w:t>
      </w:r>
      <w:r w:rsidR="00A02864">
        <w:rPr>
          <w:lang w:val="en-US"/>
        </w:rPr>
        <w:t xml:space="preserve"> (see </w:t>
      </w:r>
      <w:r w:rsidR="00A02864">
        <w:rPr>
          <w:lang w:val="en-US"/>
        </w:rPr>
        <w:fldChar w:fldCharType="begin"/>
      </w:r>
      <w:r w:rsidR="00A02864">
        <w:rPr>
          <w:lang w:val="en-US"/>
        </w:rPr>
        <w:instrText xml:space="preserve"> REF _Ref178646125 \h </w:instrText>
      </w:r>
      <w:r w:rsidR="00A02864">
        <w:rPr>
          <w:lang w:val="en-US"/>
        </w:rPr>
      </w:r>
      <w:r w:rsidR="00A02864">
        <w:rPr>
          <w:lang w:val="en-US"/>
        </w:rPr>
        <w:fldChar w:fldCharType="separate"/>
      </w:r>
      <w:r w:rsidR="00A02864">
        <w:t xml:space="preserve">Figure </w:t>
      </w:r>
      <w:r w:rsidR="00A02864">
        <w:rPr>
          <w:noProof/>
        </w:rPr>
        <w:t>1</w:t>
      </w:r>
      <w:r w:rsidR="00A02864">
        <w:rPr>
          <w:lang w:val="en-US"/>
        </w:rPr>
        <w:fldChar w:fldCharType="end"/>
      </w:r>
      <w:r w:rsidR="00A02864">
        <w:rPr>
          <w:lang w:val="en-US"/>
        </w:rPr>
        <w:t>)</w:t>
      </w:r>
      <w:r w:rsidR="00A80EB8">
        <w:rPr>
          <w:lang w:val="en-US"/>
        </w:rPr>
        <w:t>:</w:t>
      </w:r>
    </w:p>
    <w:p w14:paraId="67C3573D" w14:textId="087E78A3" w:rsidR="00A80EB8" w:rsidRPr="00A80EB8" w:rsidRDefault="00A80EB8" w:rsidP="00A80EB8">
      <w:pPr>
        <w:numPr>
          <w:ilvl w:val="0"/>
          <w:numId w:val="38"/>
        </w:numPr>
        <w:jc w:val="both"/>
      </w:pPr>
      <w:r>
        <w:t>RRM offloading</w:t>
      </w:r>
      <w:r w:rsidR="004C71EB">
        <w:t xml:space="preserve"> (Case#1)</w:t>
      </w:r>
      <w:r w:rsidRPr="00A80EB8">
        <w:t>: when MR is deactivated and LR is activated</w:t>
      </w:r>
      <w:r>
        <w:t>.</w:t>
      </w:r>
    </w:p>
    <w:p w14:paraId="4BF6BB51" w14:textId="3A9A8263" w:rsidR="00A80EB8" w:rsidRPr="00A80EB8" w:rsidRDefault="00A80EB8" w:rsidP="00A80EB8">
      <w:pPr>
        <w:numPr>
          <w:ilvl w:val="0"/>
          <w:numId w:val="38"/>
        </w:numPr>
        <w:jc w:val="both"/>
      </w:pPr>
      <w:r>
        <w:t>RRM relaxation</w:t>
      </w:r>
      <w:r w:rsidR="004C71EB">
        <w:t xml:space="preserve"> (Case#3)</w:t>
      </w:r>
      <w:r w:rsidRPr="00A80EB8">
        <w:t>: when both MR and LR are activated</w:t>
      </w:r>
      <w:r>
        <w:t>.</w:t>
      </w:r>
    </w:p>
    <w:p w14:paraId="2150AE99" w14:textId="70D7294B" w:rsidR="004C71EB" w:rsidRDefault="00A80EB8" w:rsidP="004C71EB">
      <w:pPr>
        <w:numPr>
          <w:ilvl w:val="0"/>
          <w:numId w:val="38"/>
        </w:numPr>
        <w:jc w:val="both"/>
      </w:pPr>
      <w:r>
        <w:t>Legacy UE</w:t>
      </w:r>
      <w:r w:rsidRPr="00A80EB8">
        <w:t>: when MR is activated and LR is deactivated</w:t>
      </w:r>
      <w:r>
        <w:t>.</w:t>
      </w:r>
    </w:p>
    <w:p w14:paraId="25A1AB84" w14:textId="77777777" w:rsidR="00A02864" w:rsidRDefault="004C71EB" w:rsidP="00A02864">
      <w:pPr>
        <w:keepNext/>
        <w:jc w:val="center"/>
      </w:pPr>
      <w:r>
        <w:rPr>
          <w:noProof/>
        </w:rPr>
        <w:lastRenderedPageBreak/>
        <w:drawing>
          <wp:inline distT="0" distB="0" distL="0" distR="0" wp14:anchorId="35F4A5C5" wp14:editId="6DE84B4C">
            <wp:extent cx="2603119" cy="195978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1018" cy="1973257"/>
                    </a:xfrm>
                    <a:prstGeom prst="rect">
                      <a:avLst/>
                    </a:prstGeom>
                    <a:noFill/>
                  </pic:spPr>
                </pic:pic>
              </a:graphicData>
            </a:graphic>
          </wp:inline>
        </w:drawing>
      </w:r>
    </w:p>
    <w:p w14:paraId="7B5DB183" w14:textId="5608A1F4" w:rsidR="004C71EB" w:rsidRPr="00A80EB8" w:rsidRDefault="00A02864" w:rsidP="00A02864">
      <w:pPr>
        <w:pStyle w:val="Caption"/>
        <w:jc w:val="center"/>
      </w:pPr>
      <w:bookmarkStart w:id="3" w:name="_Ref178646125"/>
      <w:r>
        <w:t xml:space="preserve">Figure </w:t>
      </w:r>
      <w:fldSimple w:instr=" SEQ Figure \* ARABIC ">
        <w:r w:rsidR="00DD2356">
          <w:rPr>
            <w:noProof/>
          </w:rPr>
          <w:t>1</w:t>
        </w:r>
      </w:fldSimple>
      <w:bookmarkEnd w:id="3"/>
      <w:r>
        <w:t>: Different cases of LP-WUR UE</w:t>
      </w:r>
    </w:p>
    <w:p w14:paraId="20532434" w14:textId="77065AF5" w:rsidR="00F24CB1" w:rsidRDefault="00F24CB1" w:rsidP="00F24CB1">
      <w:pPr>
        <w:jc w:val="both"/>
      </w:pPr>
      <w:r>
        <w:t>In Case#1, MR is deactivated and LR is activated. LR should perform wake-up signal monitoring and serving cell measurements in RRC IDLE/INACTIVE mode. All other tasks performed by MR (paging, serving and neighbour cell RRM measurements) are deactivated for power saving. Since</w:t>
      </w:r>
      <w:r w:rsidR="00131D3F">
        <w:t xml:space="preserve"> </w:t>
      </w:r>
      <w:r>
        <w:t xml:space="preserve">in this case serving cell measurement is exclusively performed by LR, UE needs to rely on the LR’s RRM measurements to determine whether to stay in the </w:t>
      </w:r>
      <w:r w:rsidR="00131D3F">
        <w:t>current</w:t>
      </w:r>
      <w:r>
        <w:t xml:space="preserve"> state or </w:t>
      </w:r>
      <w:r w:rsidR="00131D3F">
        <w:t>switch</w:t>
      </w:r>
      <w:r>
        <w:t xml:space="preserve"> to another state. In this case, UE can either exit to legacy UE behaviour or enter Case#3 as shown in </w:t>
      </w:r>
      <w:r w:rsidR="00131D3F">
        <w:fldChar w:fldCharType="begin"/>
      </w:r>
      <w:r w:rsidR="00131D3F">
        <w:instrText xml:space="preserve"> REF _Ref181884655 \h </w:instrText>
      </w:r>
      <w:r w:rsidR="00131D3F">
        <w:fldChar w:fldCharType="separate"/>
      </w:r>
      <w:r w:rsidR="00131D3F">
        <w:t xml:space="preserve">Figure </w:t>
      </w:r>
      <w:r w:rsidR="00131D3F">
        <w:rPr>
          <w:noProof/>
        </w:rPr>
        <w:t>2</w:t>
      </w:r>
      <w:r w:rsidR="00131D3F">
        <w:fldChar w:fldCharType="end"/>
      </w:r>
      <w:r>
        <w:t>.</w:t>
      </w:r>
      <w:r w:rsidR="00131D3F">
        <w:t xml:space="preserve"> For both scenarios</w:t>
      </w:r>
      <w:r w:rsidR="00BC40B1">
        <w:t xml:space="preserve">, UE can </w:t>
      </w:r>
      <w:r w:rsidR="00131D3F">
        <w:t xml:space="preserve">evaluate the conditions (to exit from Case#1 or to enter Case#3) </w:t>
      </w:r>
      <w:r w:rsidR="00BC40B1">
        <w:t xml:space="preserve">based on LR measurements only and </w:t>
      </w:r>
      <w:r w:rsidR="00131D3F">
        <w:t>with respect to the configured thresholds.</w:t>
      </w:r>
    </w:p>
    <w:p w14:paraId="58B1CCE1" w14:textId="3870B4FA" w:rsidR="00F24CB1" w:rsidRDefault="00BC40B1" w:rsidP="00F24CB1">
      <w:pPr>
        <w:jc w:val="both"/>
      </w:pPr>
      <w:r>
        <w:rPr>
          <w:noProof/>
        </w:rPr>
        <w:drawing>
          <wp:anchor distT="0" distB="0" distL="114300" distR="114300" simplePos="0" relativeHeight="251665408" behindDoc="1" locked="0" layoutInCell="1" allowOverlap="1" wp14:anchorId="4ACB33B3" wp14:editId="46FFA5B5">
            <wp:simplePos x="0" y="0"/>
            <wp:positionH relativeFrom="margin">
              <wp:posOffset>3660341</wp:posOffset>
            </wp:positionH>
            <wp:positionV relativeFrom="paragraph">
              <wp:posOffset>692</wp:posOffset>
            </wp:positionV>
            <wp:extent cx="1736202" cy="1839112"/>
            <wp:effectExtent l="0" t="0" r="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6202" cy="1839112"/>
                    </a:xfrm>
                    <a:prstGeom prst="rect">
                      <a:avLst/>
                    </a:prstGeom>
                    <a:noFill/>
                  </pic:spPr>
                </pic:pic>
              </a:graphicData>
            </a:graphic>
            <wp14:sizeRelH relativeFrom="page">
              <wp14:pctWidth>0</wp14:pctWidth>
            </wp14:sizeRelH>
            <wp14:sizeRelV relativeFrom="page">
              <wp14:pctHeight>0</wp14:pctHeight>
            </wp14:sizeRelV>
          </wp:anchor>
        </w:drawing>
      </w:r>
      <w:r>
        <w:rPr>
          <w:noProof/>
          <w14:ligatures w14:val="none"/>
        </w:rPr>
        <w:drawing>
          <wp:anchor distT="0" distB="0" distL="114300" distR="114300" simplePos="0" relativeHeight="251658240" behindDoc="1" locked="0" layoutInCell="1" allowOverlap="1" wp14:anchorId="30F077BF" wp14:editId="076DA6EB">
            <wp:simplePos x="0" y="0"/>
            <wp:positionH relativeFrom="column">
              <wp:posOffset>905438</wp:posOffset>
            </wp:positionH>
            <wp:positionV relativeFrom="paragraph">
              <wp:posOffset>3650</wp:posOffset>
            </wp:positionV>
            <wp:extent cx="1828800" cy="1877695"/>
            <wp:effectExtent l="0" t="0" r="0"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0" cy="1877695"/>
                    </a:xfrm>
                    <a:prstGeom prst="rect">
                      <a:avLst/>
                    </a:prstGeom>
                    <a:noFill/>
                  </pic:spPr>
                </pic:pic>
              </a:graphicData>
            </a:graphic>
          </wp:anchor>
        </w:drawing>
      </w:r>
    </w:p>
    <w:p w14:paraId="0AAEBDAF" w14:textId="5619F1FB" w:rsidR="00BC40B1" w:rsidRDefault="00BC40B1" w:rsidP="00BC40B1">
      <w:pPr>
        <w:jc w:val="both"/>
      </w:pPr>
    </w:p>
    <w:p w14:paraId="6CAF961F" w14:textId="43EC1B3D" w:rsidR="00BC40B1" w:rsidRDefault="00BC40B1" w:rsidP="00BC40B1">
      <w:pPr>
        <w:jc w:val="both"/>
      </w:pPr>
    </w:p>
    <w:p w14:paraId="271F2244" w14:textId="77777777" w:rsidR="00BC40B1" w:rsidRDefault="00BC40B1" w:rsidP="00BC40B1">
      <w:pPr>
        <w:jc w:val="both"/>
      </w:pPr>
    </w:p>
    <w:p w14:paraId="7072600B" w14:textId="77777777" w:rsidR="00BC40B1" w:rsidRDefault="00BC40B1" w:rsidP="00BC40B1">
      <w:pPr>
        <w:jc w:val="both"/>
      </w:pPr>
    </w:p>
    <w:p w14:paraId="6EDB81ED" w14:textId="77777777" w:rsidR="00BC40B1" w:rsidRDefault="00BC40B1" w:rsidP="00BC40B1">
      <w:pPr>
        <w:jc w:val="both"/>
      </w:pPr>
    </w:p>
    <w:p w14:paraId="76144BB8" w14:textId="0794B82D" w:rsidR="00BC40B1" w:rsidRDefault="00BC40B1" w:rsidP="00BC40B1">
      <w:pPr>
        <w:jc w:val="both"/>
      </w:pPr>
      <w:r>
        <w:rPr>
          <w:noProof/>
        </w:rPr>
        <mc:AlternateContent>
          <mc:Choice Requires="wps">
            <w:drawing>
              <wp:anchor distT="0" distB="0" distL="114300" distR="114300" simplePos="0" relativeHeight="251666432" behindDoc="1" locked="0" layoutInCell="1" allowOverlap="1" wp14:anchorId="17CDBCA8" wp14:editId="60C58990">
                <wp:simplePos x="0" y="0"/>
                <wp:positionH relativeFrom="column">
                  <wp:posOffset>3863340</wp:posOffset>
                </wp:positionH>
                <wp:positionV relativeFrom="paragraph">
                  <wp:posOffset>155181</wp:posOffset>
                </wp:positionV>
                <wp:extent cx="1458410" cy="295910"/>
                <wp:effectExtent l="0" t="0" r="8890" b="0"/>
                <wp:wrapNone/>
                <wp:docPr id="4" name="Text Box 4"/>
                <wp:cNvGraphicFramePr/>
                <a:graphic xmlns:a="http://schemas.openxmlformats.org/drawingml/2006/main">
                  <a:graphicData uri="http://schemas.microsoft.com/office/word/2010/wordprocessingShape">
                    <wps:wsp>
                      <wps:cNvSpPr txBox="1"/>
                      <wps:spPr>
                        <a:xfrm>
                          <a:off x="0" y="0"/>
                          <a:ext cx="1458410" cy="295910"/>
                        </a:xfrm>
                        <a:prstGeom prst="rect">
                          <a:avLst/>
                        </a:prstGeom>
                        <a:solidFill>
                          <a:prstClr val="white"/>
                        </a:solidFill>
                        <a:ln>
                          <a:noFill/>
                        </a:ln>
                      </wps:spPr>
                      <wps:txbx>
                        <w:txbxContent>
                          <w:p w14:paraId="708B3C7B" w14:textId="77777777" w:rsidR="00BC40B1" w:rsidRDefault="00BC40B1" w:rsidP="00BC40B1">
                            <w:pPr>
                              <w:pStyle w:val="Caption"/>
                              <w:rPr>
                                <w:noProof/>
                              </w:rPr>
                            </w:pPr>
                            <w:r>
                              <w:t xml:space="preserve">Figure </w:t>
                            </w:r>
                            <w:fldSimple w:instr=" SEQ Figure \* ARABIC ">
                              <w:r>
                                <w:rPr>
                                  <w:noProof/>
                                </w:rPr>
                                <w:t>3</w:t>
                              </w:r>
                            </w:fldSimple>
                            <w:r>
                              <w:t>: UE at Case#3.</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17CDBCA8" id="_x0000_t202" coordsize="21600,21600" o:spt="202" path="m,l,21600r21600,l21600,xe">
                <v:stroke joinstyle="miter"/>
                <v:path gradientshapeok="t" o:connecttype="rect"/>
              </v:shapetype>
              <v:shape id="Text Box 4" o:spid="_x0000_s1026" type="#_x0000_t202" style="position:absolute;left:0;text-align:left;margin-left:304.2pt;margin-top:12.2pt;width:114.85pt;height:23.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" stroked="f">
                <v:textbox style="mso-fit-shape-to-text:t" inset="0,0,0,0">
                  <w:txbxContent>
                    <w:p w14:paraId="708B3C7B" w14:textId="77777777" w:rsidR="00BC40B1" w:rsidRDefault="00BC40B1" w:rsidP="00BC40B1">
                      <w:pPr>
                        <w:pStyle w:val="Caption"/>
                        <w:rPr>
                          <w:noProof/>
                        </w:rPr>
                      </w:pPr>
                      <w:r>
                        <w:t xml:space="preserve">Figure </w:t>
                      </w:r>
                      <w:fldSimple w:instr=" SEQ Figure \* ARABIC ">
                        <w:r>
                          <w:rPr>
                            <w:noProof/>
                          </w:rPr>
                          <w:t>3</w:t>
                        </w:r>
                      </w:fldSimple>
                      <w:r>
                        <w:t>: UE at Case#3.</w:t>
                      </w:r>
                    </w:p>
                  </w:txbxContent>
                </v:textbox>
              </v:shape>
            </w:pict>
          </mc:Fallback>
        </mc:AlternateContent>
      </w:r>
      <w:r>
        <w:rPr>
          <w:noProof/>
        </w:rPr>
        <mc:AlternateContent>
          <mc:Choice Requires="wps">
            <w:drawing>
              <wp:anchor distT="0" distB="0" distL="114300" distR="114300" simplePos="0" relativeHeight="251660288" behindDoc="1" locked="0" layoutInCell="1" allowOverlap="1" wp14:anchorId="1C218C30" wp14:editId="23F94400">
                <wp:simplePos x="0" y="0"/>
                <wp:positionH relativeFrom="column">
                  <wp:posOffset>1148804</wp:posOffset>
                </wp:positionH>
                <wp:positionV relativeFrom="paragraph">
                  <wp:posOffset>190355</wp:posOffset>
                </wp:positionV>
                <wp:extent cx="1394749"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1394749" cy="635"/>
                        </a:xfrm>
                        <a:prstGeom prst="rect">
                          <a:avLst/>
                        </a:prstGeom>
                        <a:solidFill>
                          <a:prstClr val="white"/>
                        </a:solidFill>
                        <a:ln>
                          <a:noFill/>
                        </a:ln>
                      </wps:spPr>
                      <wps:txbx>
                        <w:txbxContent>
                          <w:p w14:paraId="1603195E" w14:textId="16928C46" w:rsidR="00F24CB1" w:rsidRPr="005D59CA" w:rsidRDefault="00F24CB1" w:rsidP="00F24CB1">
                            <w:pPr>
                              <w:pStyle w:val="Caption"/>
                              <w:rPr>
                                <w:noProof/>
                                <w14:ligatures w14:val="none"/>
                              </w:rPr>
                            </w:pPr>
                            <w:bookmarkStart w:id="4" w:name="_Ref181884655"/>
                            <w:bookmarkStart w:id="5" w:name="_Ref181884649"/>
                            <w:r>
                              <w:t xml:space="preserve">Figure </w:t>
                            </w:r>
                            <w:fldSimple w:instr=" SEQ Figure \* ARABIC ">
                              <w:r w:rsidR="00DD2356">
                                <w:rPr>
                                  <w:noProof/>
                                </w:rPr>
                                <w:t>2</w:t>
                              </w:r>
                            </w:fldSimple>
                            <w:bookmarkEnd w:id="4"/>
                            <w:r>
                              <w:t>:</w:t>
                            </w:r>
                            <w:r w:rsidR="00DD2356">
                              <w:t xml:space="preserve"> </w:t>
                            </w:r>
                            <w:r>
                              <w:t>UE at Case</w:t>
                            </w:r>
                            <w:r w:rsidR="00DD2356">
                              <w:t>#</w:t>
                            </w:r>
                            <w:r>
                              <w:t>1.</w:t>
                            </w:r>
                            <w:bookmarkEnd w:id="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C218C30" id="Text Box 1" o:spid="_x0000_s1027" type="#_x0000_t202" style="position:absolute;left:0;text-align:left;margin-left:90.45pt;margin-top:15pt;width:109.8pt;height:.0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" stroked="f">
                <v:textbox style="mso-fit-shape-to-text:t" inset="0,0,0,0">
                  <w:txbxContent>
                    <w:p w14:paraId="1603195E" w14:textId="16928C46" w:rsidR="00F24CB1" w:rsidRPr="005D59CA" w:rsidRDefault="00F24CB1" w:rsidP="00F24CB1">
                      <w:pPr>
                        <w:pStyle w:val="Caption"/>
                        <w:rPr>
                          <w:noProof/>
                          <w14:ligatures w14:val="none"/>
                        </w:rPr>
                      </w:pPr>
                      <w:bookmarkStart w:id="6" w:name="_Ref181884655"/>
                      <w:bookmarkStart w:id="7" w:name="_Ref181884649"/>
                      <w:r>
                        <w:t xml:space="preserve">Figure </w:t>
                      </w:r>
                      <w:fldSimple w:instr=" SEQ Figure \* ARABIC ">
                        <w:r w:rsidR="00DD2356">
                          <w:rPr>
                            <w:noProof/>
                          </w:rPr>
                          <w:t>2</w:t>
                        </w:r>
                      </w:fldSimple>
                      <w:bookmarkEnd w:id="6"/>
                      <w:r>
                        <w:t>:</w:t>
                      </w:r>
                      <w:r w:rsidR="00DD2356">
                        <w:t xml:space="preserve"> </w:t>
                      </w:r>
                      <w:r>
                        <w:t>UE at Case</w:t>
                      </w:r>
                      <w:r w:rsidR="00DD2356">
                        <w:t>#</w:t>
                      </w:r>
                      <w:r>
                        <w:t>1.</w:t>
                      </w:r>
                      <w:bookmarkEnd w:id="7"/>
                    </w:p>
                  </w:txbxContent>
                </v:textbox>
              </v:shape>
            </w:pict>
          </mc:Fallback>
        </mc:AlternateContent>
      </w:r>
    </w:p>
    <w:p w14:paraId="4BCB6B1C" w14:textId="27D09299" w:rsidR="00131D3F" w:rsidRPr="00BC40B1" w:rsidRDefault="00131D3F" w:rsidP="00BC40B1">
      <w:pPr>
        <w:jc w:val="both"/>
      </w:pPr>
    </w:p>
    <w:p w14:paraId="0964266B" w14:textId="62F561C2" w:rsidR="00DD2356" w:rsidRDefault="00DD2356" w:rsidP="00DD2356">
      <w:pPr>
        <w:jc w:val="both"/>
      </w:pPr>
      <w:r>
        <w:t xml:space="preserve">In Case#3, both MR and LR are activated. LR performs wake-up signal monitoring and serving cell measurements in RRC IDLE/INACTIVE mode. MR performs relaxed serving and neighbour cell measurements in IDLE/INACTIVE mode. Since, in this case, serving cell measurements are performed by both MR and LR, in the last meeting RAN4 agreed </w:t>
      </w:r>
      <w:r w:rsidRPr="00DD2356">
        <w:t xml:space="preserve">not to consider combining the measurements across the two radios, i.e., MR and </w:t>
      </w:r>
      <w:r>
        <w:t xml:space="preserve">LR as captured in the WF </w:t>
      </w:r>
      <w:r>
        <w:fldChar w:fldCharType="begin"/>
      </w:r>
      <w:r>
        <w:instrText xml:space="preserve"> REF _Ref178035072 \n \h </w:instrText>
      </w:r>
      <w:r>
        <w:fldChar w:fldCharType="separate"/>
      </w:r>
      <w:r>
        <w:t>[1]</w:t>
      </w:r>
      <w:r>
        <w:fldChar w:fldCharType="end"/>
      </w:r>
      <w:r>
        <w:t xml:space="preserve">. </w:t>
      </w:r>
      <w:r w:rsidR="00BC40B1">
        <w:t>This means RAN4 need to discuss which measurements to consider when transiting between different states. When UE at Case#3</w:t>
      </w:r>
      <w:r>
        <w:t xml:space="preserve">, UE can either exit to legacy UE behaviour or enter Case#1 as shown in </w:t>
      </w:r>
      <w:r>
        <w:fldChar w:fldCharType="begin"/>
      </w:r>
      <w:r>
        <w:instrText xml:space="preserve"> REF _Ref181897110 \h </w:instrText>
      </w:r>
      <w:r>
        <w:fldChar w:fldCharType="separate"/>
      </w:r>
      <w:r>
        <w:t xml:space="preserve">Figure </w:t>
      </w:r>
      <w:r>
        <w:rPr>
          <w:noProof/>
        </w:rPr>
        <w:t>3</w:t>
      </w:r>
      <w:r>
        <w:fldChar w:fldCharType="end"/>
      </w:r>
      <w:r>
        <w:t xml:space="preserve">. For both scenarios, </w:t>
      </w:r>
      <w:r w:rsidRPr="00737C98">
        <w:t>LR</w:t>
      </w:r>
      <w:r>
        <w:t xml:space="preserve"> </w:t>
      </w:r>
      <w:r w:rsidR="00737C98">
        <w:t xml:space="preserve">or MR </w:t>
      </w:r>
      <w:r w:rsidR="00BC40B1">
        <w:t>are capable</w:t>
      </w:r>
      <w:r>
        <w:t xml:space="preserve"> to evaluate the conditions (to exit from Case#3 or to enter Case#1) based on the serving cell measurements and with respect to the configured thresholds.</w:t>
      </w:r>
      <w:r w:rsidR="00737C98">
        <w:t xml:space="preserve"> </w:t>
      </w:r>
      <w:r w:rsidR="00765EC2">
        <w:t>It is noted that</w:t>
      </w:r>
      <w:r w:rsidR="00737C98">
        <w:t xml:space="preserve">, RAN2 agreed that exit condition is based on LR measurements only without MR measurements as captured in </w:t>
      </w:r>
      <w:r w:rsidR="00737C98">
        <w:fldChar w:fldCharType="begin"/>
      </w:r>
      <w:r w:rsidR="00737C98">
        <w:instrText xml:space="preserve"> REF _Ref181902462 \n \h </w:instrText>
      </w:r>
      <w:r w:rsidR="00737C98">
        <w:fldChar w:fldCharType="separate"/>
      </w:r>
      <w:r w:rsidR="00737C98">
        <w:t>[4]</w:t>
      </w:r>
      <w:r w:rsidR="00737C98">
        <w:fldChar w:fldCharType="end"/>
      </w:r>
      <w:r w:rsidR="00737C98">
        <w:t>.</w:t>
      </w:r>
    </w:p>
    <w:tbl>
      <w:tblPr>
        <w:tblStyle w:val="TableGrid"/>
        <w:tblW w:w="0" w:type="auto"/>
        <w:tblLook w:val="04A0" w:firstRow="1" w:lastRow="0" w:firstColumn="1" w:lastColumn="0" w:noHBand="0" w:noVBand="1"/>
      </w:tblPr>
      <w:tblGrid>
        <w:gridCol w:w="9629"/>
      </w:tblGrid>
      <w:tr w:rsidR="00737C98" w14:paraId="4D51A847" w14:textId="77777777" w:rsidTr="00737C98">
        <w:tc>
          <w:tcPr>
            <w:tcW w:w="9629" w:type="dxa"/>
          </w:tcPr>
          <w:p w14:paraId="223A7815" w14:textId="77777777" w:rsidR="00B337AA" w:rsidRDefault="00B337AA" w:rsidP="00B337AA">
            <w:pPr>
              <w:jc w:val="both"/>
              <w:rPr>
                <w:b/>
                <w:bCs/>
              </w:rPr>
            </w:pPr>
            <w:r>
              <w:rPr>
                <w:b/>
                <w:bCs/>
              </w:rPr>
              <w:t>RAN2#127-bis agreement:</w:t>
            </w:r>
          </w:p>
          <w:p w14:paraId="05C0B7A3" w14:textId="6D61D02F" w:rsidR="00737C98" w:rsidRPr="00737C98" w:rsidRDefault="00737C98" w:rsidP="00737C98">
            <w:pPr>
              <w:pStyle w:val="ListParagraph"/>
              <w:numPr>
                <w:ilvl w:val="0"/>
                <w:numId w:val="69"/>
              </w:numPr>
              <w:jc w:val="both"/>
              <w:rPr>
                <w:b/>
                <w:bCs/>
              </w:rPr>
            </w:pPr>
            <w:r>
              <w:t>The LPWUS monitoring exit condition does not include MR measurements.</w:t>
            </w:r>
          </w:p>
        </w:tc>
      </w:tr>
    </w:tbl>
    <w:p w14:paraId="60C1607C" w14:textId="77777777" w:rsidR="000534CF" w:rsidRDefault="000534CF" w:rsidP="00737C98">
      <w:pPr>
        <w:jc w:val="both"/>
        <w:rPr>
          <w:b/>
          <w:bCs/>
        </w:rPr>
      </w:pPr>
    </w:p>
    <w:p w14:paraId="47FE2A47" w14:textId="108B734F" w:rsidR="00BC40B1" w:rsidRPr="00BC40B1" w:rsidRDefault="00BC40B1" w:rsidP="00737C98">
      <w:pPr>
        <w:jc w:val="both"/>
      </w:pPr>
      <w:r>
        <w:lastRenderedPageBreak/>
        <w:t>Therefore, for both cases (Case#1 and Case#3) RAN4 can define same evaluation requirements for exit conditions based on LR measurements only. On the other hand, the entry conditions when switching between Case#1 and Case#3 can be different. E</w:t>
      </w:r>
      <w:r w:rsidRPr="00BC40B1">
        <w:t>ntry from Case#1 to Case#3 can be based on LR only</w:t>
      </w:r>
      <w:r>
        <w:t>, but e</w:t>
      </w:r>
      <w:r w:rsidRPr="00BC40B1">
        <w:t>ntry from Case#3 to Case#1 can be based on LR or LR+MR.</w:t>
      </w:r>
      <w:r>
        <w:t xml:space="preserve"> Therefore, in our view there is no need to complicate the requirements when switching between Case#1 and Case#3 and RAN4 can define the same requirements for both based on LR measurements only (as it is the common between both cases).</w:t>
      </w:r>
    </w:p>
    <w:p w14:paraId="7900C61A" w14:textId="5A8AD386" w:rsidR="000E54F2" w:rsidRDefault="000E54F2" w:rsidP="00737C98">
      <w:pPr>
        <w:jc w:val="both"/>
        <w:rPr>
          <w:b/>
          <w:bCs/>
        </w:rPr>
      </w:pPr>
      <w:r>
        <w:rPr>
          <w:b/>
          <w:bCs/>
        </w:rPr>
        <w:t xml:space="preserve">Proposal 2: Based on LR measurements only, </w:t>
      </w:r>
      <w:r w:rsidR="00BC40B1">
        <w:rPr>
          <w:b/>
          <w:bCs/>
        </w:rPr>
        <w:t xml:space="preserve">RAN4 to </w:t>
      </w:r>
      <w:r>
        <w:rPr>
          <w:b/>
          <w:bCs/>
        </w:rPr>
        <w:t xml:space="preserve">define same requirements to evaluate the exit condition for each: 1) exiting from Case#1 to legacy UE and 2) exiting from Case#3 to legacy UE. </w:t>
      </w:r>
    </w:p>
    <w:p w14:paraId="4EEFD6B7" w14:textId="2603C0FA" w:rsidR="00765EC2" w:rsidRPr="00BC40B1" w:rsidRDefault="00737C98" w:rsidP="00737C98">
      <w:pPr>
        <w:jc w:val="both"/>
        <w:rPr>
          <w:b/>
          <w:bCs/>
        </w:rPr>
      </w:pPr>
      <w:r w:rsidRPr="00BC40B1">
        <w:rPr>
          <w:b/>
          <w:bCs/>
        </w:rPr>
        <w:t xml:space="preserve">Proposal 3: </w:t>
      </w:r>
      <w:r w:rsidR="00765EC2" w:rsidRPr="00BC40B1">
        <w:rPr>
          <w:b/>
          <w:bCs/>
        </w:rPr>
        <w:t xml:space="preserve">RAN4 to </w:t>
      </w:r>
      <w:r w:rsidR="000534CF" w:rsidRPr="00BC40B1">
        <w:rPr>
          <w:b/>
          <w:bCs/>
        </w:rPr>
        <w:t>use the same</w:t>
      </w:r>
      <w:r w:rsidR="00765EC2" w:rsidRPr="00BC40B1">
        <w:rPr>
          <w:b/>
          <w:bCs/>
        </w:rPr>
        <w:t xml:space="preserve"> evaluation requirements</w:t>
      </w:r>
      <w:r w:rsidR="00BC40B1">
        <w:rPr>
          <w:b/>
          <w:bCs/>
        </w:rPr>
        <w:t xml:space="preserve"> for entry condition</w:t>
      </w:r>
      <w:r w:rsidR="00765EC2" w:rsidRPr="00BC40B1">
        <w:rPr>
          <w:b/>
          <w:bCs/>
        </w:rPr>
        <w:t xml:space="preserve"> </w:t>
      </w:r>
      <w:r w:rsidR="000534CF" w:rsidRPr="00BC40B1">
        <w:rPr>
          <w:b/>
          <w:bCs/>
        </w:rPr>
        <w:t>when switching from</w:t>
      </w:r>
      <w:r w:rsidR="00765EC2" w:rsidRPr="00BC40B1">
        <w:rPr>
          <w:b/>
          <w:bCs/>
        </w:rPr>
        <w:t xml:space="preserve"> Case#1 </w:t>
      </w:r>
      <w:r w:rsidR="000534CF" w:rsidRPr="00BC40B1">
        <w:rPr>
          <w:b/>
          <w:bCs/>
        </w:rPr>
        <w:t>to</w:t>
      </w:r>
      <w:r w:rsidR="00765EC2" w:rsidRPr="00BC40B1">
        <w:rPr>
          <w:b/>
          <w:bCs/>
        </w:rPr>
        <w:t xml:space="preserve"> Case#3</w:t>
      </w:r>
      <w:r w:rsidR="000534CF" w:rsidRPr="00BC40B1">
        <w:rPr>
          <w:b/>
          <w:bCs/>
        </w:rPr>
        <w:t xml:space="preserve"> and from Case#3 to Case#1, </w:t>
      </w:r>
      <w:proofErr w:type="gramStart"/>
      <w:r w:rsidR="000534CF" w:rsidRPr="00BC40B1">
        <w:rPr>
          <w:b/>
          <w:bCs/>
        </w:rPr>
        <w:t>where</w:t>
      </w:r>
      <w:proofErr w:type="gramEnd"/>
    </w:p>
    <w:p w14:paraId="4EF560C8" w14:textId="264D2BBA" w:rsidR="00765EC2" w:rsidRPr="00BC40B1" w:rsidRDefault="00765EC2" w:rsidP="00765EC2">
      <w:pPr>
        <w:pStyle w:val="ListParagraph"/>
        <w:numPr>
          <w:ilvl w:val="0"/>
          <w:numId w:val="69"/>
        </w:numPr>
        <w:jc w:val="both"/>
        <w:rPr>
          <w:b/>
          <w:bCs/>
        </w:rPr>
      </w:pPr>
      <w:r w:rsidRPr="00BC40B1">
        <w:rPr>
          <w:b/>
          <w:bCs/>
        </w:rPr>
        <w:t>entry conditions from Case#1 to Case#3 can be based on LR only.</w:t>
      </w:r>
    </w:p>
    <w:p w14:paraId="38ECA52D" w14:textId="47BC40D5" w:rsidR="00765EC2" w:rsidRPr="00BC40B1" w:rsidRDefault="00765EC2" w:rsidP="00765EC2">
      <w:pPr>
        <w:pStyle w:val="ListParagraph"/>
        <w:numPr>
          <w:ilvl w:val="0"/>
          <w:numId w:val="69"/>
        </w:numPr>
        <w:jc w:val="both"/>
        <w:rPr>
          <w:b/>
          <w:bCs/>
        </w:rPr>
      </w:pPr>
      <w:r w:rsidRPr="00BC40B1">
        <w:rPr>
          <w:b/>
          <w:bCs/>
        </w:rPr>
        <w:t>entry conditions from Case#3 to Case#1 can be based on LR or LR+MR.</w:t>
      </w:r>
    </w:p>
    <w:p w14:paraId="6E11F140" w14:textId="1A3280C3" w:rsidR="000E54F2" w:rsidRDefault="000E54F2" w:rsidP="000E54F2">
      <w:pPr>
        <w:jc w:val="both"/>
        <w:rPr>
          <w:b/>
          <w:bCs/>
        </w:rPr>
      </w:pPr>
      <w:r>
        <w:rPr>
          <w:b/>
          <w:bCs/>
        </w:rPr>
        <w:t xml:space="preserve">Proposal 4: </w:t>
      </w:r>
      <w:r w:rsidR="00BC40B1">
        <w:rPr>
          <w:b/>
          <w:bCs/>
        </w:rPr>
        <w:t xml:space="preserve">RAN4 to consider </w:t>
      </w:r>
      <w:r>
        <w:rPr>
          <w:b/>
          <w:bCs/>
        </w:rPr>
        <w:t>LR measurements only</w:t>
      </w:r>
      <w:r w:rsidR="00BC40B1">
        <w:rPr>
          <w:b/>
          <w:bCs/>
        </w:rPr>
        <w:t xml:space="preserve"> to</w:t>
      </w:r>
      <w:r>
        <w:rPr>
          <w:b/>
          <w:bCs/>
        </w:rPr>
        <w:t xml:space="preserve"> define same requirements to evaluate the entry condition for each: 1) switching from Case#1 to Case#3 and 2) switching from Case#3 to Case#1</w:t>
      </w:r>
      <w:r w:rsidR="00B337AA">
        <w:rPr>
          <w:b/>
          <w:bCs/>
        </w:rPr>
        <w:t>.</w:t>
      </w:r>
    </w:p>
    <w:p w14:paraId="2DAE79EE" w14:textId="4324158D" w:rsidR="00B337AA" w:rsidRDefault="00B337AA" w:rsidP="00A80EB8">
      <w:pPr>
        <w:jc w:val="both"/>
      </w:pPr>
    </w:p>
    <w:p w14:paraId="07EC1E93" w14:textId="6C6FFDDA" w:rsidR="00B337AA" w:rsidRDefault="00B337AA" w:rsidP="00A80EB8">
      <w:pPr>
        <w:jc w:val="both"/>
      </w:pPr>
      <w:r>
        <w:t>On the other hand, when UE operates as legacy (only MR), evaluating the entry condition to enter Case#1 or Case#3 should be based on MR measurements only and with respect to the configured thresholds.</w:t>
      </w:r>
    </w:p>
    <w:p w14:paraId="7C918647" w14:textId="77777777" w:rsidR="00737896" w:rsidRDefault="00737896" w:rsidP="00737896">
      <w:pPr>
        <w:jc w:val="both"/>
        <w:rPr>
          <w:b/>
          <w:bCs/>
        </w:rPr>
      </w:pPr>
      <w:r>
        <w:rPr>
          <w:b/>
          <w:bCs/>
        </w:rPr>
        <w:t>Proposal 5: RAN4 to define requirements to evaluate the entry condition from legacy UE to Case#1 or Case#3 based on MR measurements only.</w:t>
      </w:r>
    </w:p>
    <w:p w14:paraId="61E2EB21" w14:textId="62028090" w:rsidR="00B337AA" w:rsidRDefault="00B337AA" w:rsidP="00A80EB8">
      <w:pPr>
        <w:jc w:val="both"/>
      </w:pPr>
      <w:r>
        <w:t>Another issue needs to be discussed is that how to avoid the ping pong behaviour when transitioning between different cases. Activating and deactivating MR can consume more power and takes longer time compared to LR. Therefore, it is important to ensure UE can confidently switch to any case without having ping pong impact.</w:t>
      </w:r>
    </w:p>
    <w:p w14:paraId="7B2E4532" w14:textId="1138557D" w:rsidR="00B337AA" w:rsidRDefault="00B337AA" w:rsidP="00B337AA">
      <w:pPr>
        <w:jc w:val="both"/>
        <w:rPr>
          <w:b/>
          <w:bCs/>
        </w:rPr>
      </w:pPr>
      <w:r>
        <w:rPr>
          <w:b/>
          <w:bCs/>
        </w:rPr>
        <w:t xml:space="preserve">Proposal 6: Discuss </w:t>
      </w:r>
      <w:r w:rsidRPr="00B337AA">
        <w:rPr>
          <w:b/>
          <w:bCs/>
        </w:rPr>
        <w:t>how to avoid the ping pong behaviour when transitioning between different cases</w:t>
      </w:r>
      <w:r>
        <w:rPr>
          <w:b/>
          <w:bCs/>
        </w:rPr>
        <w:t xml:space="preserve"> based on RRM measurements. </w:t>
      </w:r>
    </w:p>
    <w:p w14:paraId="6085C28B" w14:textId="77777777" w:rsidR="00B337AA" w:rsidRDefault="00B337AA" w:rsidP="00A80EB8">
      <w:pPr>
        <w:jc w:val="both"/>
      </w:pPr>
    </w:p>
    <w:p w14:paraId="011B59B9" w14:textId="32BA71A1" w:rsidR="00B337AA" w:rsidRDefault="00B337AA" w:rsidP="00A80EB8">
      <w:pPr>
        <w:jc w:val="both"/>
      </w:pPr>
      <w:r>
        <w:t xml:space="preserve">Regarding the criteria </w:t>
      </w:r>
      <w:r w:rsidRPr="00B337AA">
        <w:t>(entry/exit conditions) for</w:t>
      </w:r>
      <w:r w:rsidR="00B825C3">
        <w:t xml:space="preserve"> RRM</w:t>
      </w:r>
      <w:r w:rsidRPr="00B337AA">
        <w:t xml:space="preserve"> fully offloading </w:t>
      </w:r>
      <w:r w:rsidR="00B825C3">
        <w:t xml:space="preserve">and </w:t>
      </w:r>
      <w:r w:rsidRPr="00B337AA">
        <w:t>MR RRM measurement relaxation</w:t>
      </w:r>
      <w:r>
        <w:t>. It is also our understanding</w:t>
      </w:r>
      <w:r w:rsidR="00B825C3">
        <w:t xml:space="preserve"> that</w:t>
      </w:r>
      <w:r>
        <w:t xml:space="preserve"> RAN2 is responsible for defining these criteria</w:t>
      </w:r>
      <w:r w:rsidR="00B825C3">
        <w:t xml:space="preserve"> while</w:t>
      </w:r>
      <w:r>
        <w:t xml:space="preserve"> </w:t>
      </w:r>
      <w:r w:rsidR="00B825C3">
        <w:t xml:space="preserve">RAN4 needs to define delay requirement to evaluate these criteria. </w:t>
      </w:r>
      <w:r>
        <w:t xml:space="preserve">In </w:t>
      </w:r>
      <w:r w:rsidR="00B825C3">
        <w:t>fact,</w:t>
      </w:r>
      <w:r>
        <w:t xml:space="preserve"> RAN2 has already discussed </w:t>
      </w:r>
      <w:r w:rsidR="00B825C3">
        <w:t xml:space="preserve">the criteria </w:t>
      </w:r>
      <w:r>
        <w:t>and reached the following agreement</w:t>
      </w:r>
      <w:r w:rsidR="00B825C3">
        <w:t xml:space="preserve"> </w:t>
      </w:r>
      <w:r w:rsidR="00B825C3">
        <w:fldChar w:fldCharType="begin"/>
      </w:r>
      <w:r w:rsidR="00B825C3">
        <w:instrText xml:space="preserve"> REF _Ref181902462 \n \h </w:instrText>
      </w:r>
      <w:r w:rsidR="00B825C3">
        <w:fldChar w:fldCharType="separate"/>
      </w:r>
      <w:r w:rsidR="00B825C3">
        <w:t>[4]</w:t>
      </w:r>
      <w:r w:rsidR="00B825C3">
        <w:fldChar w:fldCharType="end"/>
      </w:r>
      <w:r w:rsidR="00B825C3">
        <w:t>:</w:t>
      </w:r>
    </w:p>
    <w:tbl>
      <w:tblPr>
        <w:tblStyle w:val="TableGrid"/>
        <w:tblW w:w="0" w:type="auto"/>
        <w:tblLook w:val="04A0" w:firstRow="1" w:lastRow="0" w:firstColumn="1" w:lastColumn="0" w:noHBand="0" w:noVBand="1"/>
      </w:tblPr>
      <w:tblGrid>
        <w:gridCol w:w="9629"/>
      </w:tblGrid>
      <w:tr w:rsidR="00B337AA" w14:paraId="628FC774" w14:textId="77777777" w:rsidTr="00B337AA">
        <w:tc>
          <w:tcPr>
            <w:tcW w:w="9629" w:type="dxa"/>
          </w:tcPr>
          <w:p w14:paraId="287043F7" w14:textId="77777777" w:rsidR="00B337AA" w:rsidRDefault="00B337AA" w:rsidP="00B337AA">
            <w:pPr>
              <w:jc w:val="both"/>
              <w:rPr>
                <w:b/>
                <w:bCs/>
              </w:rPr>
            </w:pPr>
            <w:r>
              <w:rPr>
                <w:b/>
                <w:bCs/>
              </w:rPr>
              <w:t>RAN2#127-bis agreement:</w:t>
            </w:r>
          </w:p>
          <w:p w14:paraId="53CE45F1" w14:textId="77777777" w:rsidR="00B337AA" w:rsidRPr="00B337AA" w:rsidRDefault="00B337AA" w:rsidP="00B337AA">
            <w:pPr>
              <w:pStyle w:val="ListParagraph"/>
              <w:numPr>
                <w:ilvl w:val="0"/>
                <w:numId w:val="69"/>
              </w:numPr>
              <w:jc w:val="both"/>
            </w:pPr>
            <w:r w:rsidRPr="00B337AA">
              <w:t>For neighbor cell measurement relaxation for UEs capable of LP-WUS, do not define additional MR-based criterion over the R16 criteria. RAN2 assume ‘UE not at cell edge’ is reused, FFS on ‘UE with low mobility’.</w:t>
            </w:r>
          </w:p>
          <w:p w14:paraId="229C55AE" w14:textId="1A4F5CB1" w:rsidR="00B337AA" w:rsidRDefault="00B337AA" w:rsidP="00A80EB8">
            <w:pPr>
              <w:pStyle w:val="ListParagraph"/>
              <w:numPr>
                <w:ilvl w:val="0"/>
                <w:numId w:val="69"/>
              </w:numPr>
              <w:jc w:val="both"/>
            </w:pPr>
            <w:r w:rsidRPr="00B337AA">
              <w:t xml:space="preserve">FFS (if needed) on enhancements based on R16 criteria (e.g., based on the LR measurements) for the case when MR serving cell measurement results are not available. </w:t>
            </w:r>
          </w:p>
        </w:tc>
      </w:tr>
    </w:tbl>
    <w:p w14:paraId="53D6B7F2" w14:textId="713E60FA" w:rsidR="00B337AA" w:rsidRDefault="00B337AA" w:rsidP="00A80EB8">
      <w:pPr>
        <w:jc w:val="both"/>
      </w:pPr>
      <w:r w:rsidRPr="00B337AA">
        <w:t xml:space="preserve"> </w:t>
      </w:r>
    </w:p>
    <w:p w14:paraId="4FF5F8B3" w14:textId="3E91EEE7" w:rsidR="00B825C3" w:rsidRDefault="00B825C3" w:rsidP="00B825C3">
      <w:pPr>
        <w:jc w:val="both"/>
        <w:rPr>
          <w:b/>
          <w:bCs/>
        </w:rPr>
      </w:pPr>
      <w:r>
        <w:rPr>
          <w:b/>
          <w:bCs/>
        </w:rPr>
        <w:t>Proposal 7: T</w:t>
      </w:r>
      <w:r w:rsidRPr="00B825C3">
        <w:rPr>
          <w:b/>
          <w:bCs/>
        </w:rPr>
        <w:t>he criteria (entry/exit conditions) for RRM fully offloading and MR RRM measurement relaxation</w:t>
      </w:r>
      <w:r>
        <w:rPr>
          <w:b/>
          <w:bCs/>
        </w:rPr>
        <w:t xml:space="preserve"> is up to RAN2, but the </w:t>
      </w:r>
      <w:r w:rsidRPr="00B825C3">
        <w:rPr>
          <w:b/>
          <w:bCs/>
        </w:rPr>
        <w:t>delay requirement to evaluate these criteria</w:t>
      </w:r>
      <w:r>
        <w:rPr>
          <w:b/>
          <w:bCs/>
        </w:rPr>
        <w:t xml:space="preserve"> is RAN4 work.</w:t>
      </w:r>
    </w:p>
    <w:p w14:paraId="2D7D70E7" w14:textId="77777777" w:rsidR="00B825C3" w:rsidRDefault="00B825C3" w:rsidP="00A80EB8">
      <w:pPr>
        <w:jc w:val="both"/>
      </w:pPr>
    </w:p>
    <w:p w14:paraId="729D5F3F" w14:textId="139F6E27" w:rsidR="0011545D" w:rsidRPr="0011545D" w:rsidRDefault="0011545D" w:rsidP="0011545D">
      <w:pPr>
        <w:pStyle w:val="Heading2"/>
        <w:numPr>
          <w:ilvl w:val="1"/>
          <w:numId w:val="36"/>
        </w:numPr>
        <w:tabs>
          <w:tab w:val="num" w:pos="360"/>
        </w:tabs>
        <w:ind w:left="360" w:hanging="360"/>
        <w:rPr>
          <w:lang w:val="en-US"/>
        </w:rPr>
      </w:pPr>
      <w:r>
        <w:rPr>
          <w:lang w:val="en-US"/>
        </w:rPr>
        <w:lastRenderedPageBreak/>
        <w:t>MR RRM relaxation</w:t>
      </w:r>
    </w:p>
    <w:p w14:paraId="633AF551" w14:textId="30B9518D" w:rsidR="000628CD" w:rsidRDefault="000628CD" w:rsidP="000628CD">
      <w:pPr>
        <w:jc w:val="both"/>
      </w:pPr>
      <w:r>
        <w:t xml:space="preserve">The MR RRM relaxation can be achieved by using a scaling factor for the RRM measurements performed in IDLE/INACTIVE mode. It is noted that different scaling factors can offer different power saving gain for the UE. RAN4 can discuss the following options for RRM relaxation: </w:t>
      </w:r>
    </w:p>
    <w:p w14:paraId="45C7543C" w14:textId="77777777" w:rsidR="00E64B2D" w:rsidRPr="00E64B2D" w:rsidRDefault="00E64B2D" w:rsidP="00E64B2D">
      <w:pPr>
        <w:pStyle w:val="ListParagraph"/>
        <w:numPr>
          <w:ilvl w:val="0"/>
          <w:numId w:val="58"/>
        </w:numPr>
        <w:jc w:val="both"/>
      </w:pPr>
      <w:r w:rsidRPr="00E64B2D">
        <w:t>Option 1: MR RRM Relaxation from 8 to 16 times</w:t>
      </w:r>
    </w:p>
    <w:p w14:paraId="0AF75977" w14:textId="77777777" w:rsidR="00E64B2D" w:rsidRPr="00E64B2D" w:rsidRDefault="00E64B2D" w:rsidP="00E64B2D">
      <w:pPr>
        <w:pStyle w:val="ListParagraph"/>
        <w:numPr>
          <w:ilvl w:val="0"/>
          <w:numId w:val="58"/>
        </w:numPr>
        <w:jc w:val="both"/>
      </w:pPr>
      <w:r w:rsidRPr="00E64B2D">
        <w:t>Option 2: MR RRM Relaxation &gt;=16 times</w:t>
      </w:r>
    </w:p>
    <w:p w14:paraId="5238DDC9" w14:textId="4128E9C7" w:rsidR="000628CD" w:rsidRDefault="00DB07DC" w:rsidP="000628CD">
      <w:pPr>
        <w:jc w:val="both"/>
        <w:rPr>
          <w:bCs/>
        </w:rPr>
      </w:pPr>
      <w:r>
        <w:rPr>
          <w:bCs/>
        </w:rPr>
        <w:t xml:space="preserve">There is a trade-off between power saving gain and the delay. </w:t>
      </w:r>
      <w:r w:rsidR="00E64B2D">
        <w:rPr>
          <w:bCs/>
        </w:rPr>
        <w:t>T</w:t>
      </w:r>
      <w:r w:rsidR="00E64B2D" w:rsidRPr="00E64B2D">
        <w:rPr>
          <w:bCs/>
        </w:rPr>
        <w:t>he higher the scaling factor, the greater the power savings that can be achieved, and the longer the delay will be</w:t>
      </w:r>
      <w:r w:rsidR="00E64B2D">
        <w:rPr>
          <w:bCs/>
        </w:rPr>
        <w:t xml:space="preserve"> (</w:t>
      </w:r>
      <w:r w:rsidR="0011545D">
        <w:rPr>
          <w:bCs/>
        </w:rPr>
        <w:t xml:space="preserve">also </w:t>
      </w:r>
      <w:r w:rsidR="00E64B2D">
        <w:rPr>
          <w:bCs/>
        </w:rPr>
        <w:t>vice versa)</w:t>
      </w:r>
      <w:r>
        <w:rPr>
          <w:bCs/>
        </w:rPr>
        <w:t xml:space="preserve">. </w:t>
      </w:r>
      <w:r w:rsidR="00E64B2D">
        <w:rPr>
          <w:bCs/>
        </w:rPr>
        <w:t xml:space="preserve">In the last meeting, some companies supported option 1 and others supported option 2. </w:t>
      </w:r>
      <w:r>
        <w:rPr>
          <w:bCs/>
        </w:rPr>
        <w:t>RAN4</w:t>
      </w:r>
      <w:r w:rsidR="0011545D">
        <w:rPr>
          <w:bCs/>
        </w:rPr>
        <w:t xml:space="preserve">, however, </w:t>
      </w:r>
      <w:r>
        <w:rPr>
          <w:bCs/>
        </w:rPr>
        <w:t xml:space="preserve">can </w:t>
      </w:r>
      <w:r w:rsidR="0011545D">
        <w:rPr>
          <w:bCs/>
        </w:rPr>
        <w:t>consider</w:t>
      </w:r>
      <w:r>
        <w:rPr>
          <w:bCs/>
        </w:rPr>
        <w:t xml:space="preserve"> </w:t>
      </w:r>
      <w:r w:rsidR="000628CD">
        <w:rPr>
          <w:bCs/>
        </w:rPr>
        <w:t>multiple stages of RRM relaxation with different scaling factors</w:t>
      </w:r>
      <w:r w:rsidR="0011545D">
        <w:rPr>
          <w:bCs/>
        </w:rPr>
        <w:t xml:space="preserve"> (i.e., not to limit the relaxation on a single value)</w:t>
      </w:r>
      <w:r>
        <w:rPr>
          <w:bCs/>
        </w:rPr>
        <w:t xml:space="preserve">, which can </w:t>
      </w:r>
      <w:r w:rsidR="000628CD">
        <w:rPr>
          <w:bCs/>
        </w:rPr>
        <w:t>depend</w:t>
      </w:r>
      <w:r>
        <w:rPr>
          <w:bCs/>
        </w:rPr>
        <w:t xml:space="preserve"> </w:t>
      </w:r>
      <w:r w:rsidR="000628CD">
        <w:rPr>
          <w:bCs/>
        </w:rPr>
        <w:t xml:space="preserve">on </w:t>
      </w:r>
      <w:r>
        <w:rPr>
          <w:bCs/>
        </w:rPr>
        <w:t>some</w:t>
      </w:r>
      <w:r w:rsidR="000628CD">
        <w:rPr>
          <w:bCs/>
        </w:rPr>
        <w:t xml:space="preserve"> conditions (e.g., channel condition, UE mobility, UE location)</w:t>
      </w:r>
      <w:r>
        <w:rPr>
          <w:bCs/>
        </w:rPr>
        <w:t xml:space="preserve">. </w:t>
      </w:r>
      <w:r w:rsidR="0011545D">
        <w:rPr>
          <w:bCs/>
        </w:rPr>
        <w:t>For example,</w:t>
      </w:r>
      <w:r>
        <w:rPr>
          <w:bCs/>
        </w:rPr>
        <w:t xml:space="preserve"> MR RRM can be relaxed with a larger value when some conditions are met (e.g., UE closer to cell centre) otherwise a smaller value can be used.</w:t>
      </w:r>
      <w:r w:rsidR="0011545D">
        <w:rPr>
          <w:bCs/>
        </w:rPr>
        <w:t xml:space="preserve"> Note that this relaxation will only apply for Case#3 (when both MR and LR are on).</w:t>
      </w:r>
    </w:p>
    <w:p w14:paraId="05B35F58" w14:textId="63F513BE" w:rsidR="000628CD" w:rsidRPr="000628CD" w:rsidRDefault="000628CD" w:rsidP="000628CD">
      <w:pPr>
        <w:jc w:val="both"/>
        <w:rPr>
          <w:b/>
          <w:bCs/>
        </w:rPr>
      </w:pPr>
      <w:r>
        <w:rPr>
          <w:b/>
          <w:bCs/>
        </w:rPr>
        <w:t xml:space="preserve">Proposal </w:t>
      </w:r>
      <w:r w:rsidR="00B825C3">
        <w:rPr>
          <w:b/>
          <w:bCs/>
        </w:rPr>
        <w:t>8</w:t>
      </w:r>
      <w:r>
        <w:rPr>
          <w:b/>
          <w:bCs/>
        </w:rPr>
        <w:t xml:space="preserve">: </w:t>
      </w:r>
      <w:r w:rsidRPr="000628CD">
        <w:rPr>
          <w:b/>
          <w:bCs/>
        </w:rPr>
        <w:t xml:space="preserve">RAN4 </w:t>
      </w:r>
      <w:r>
        <w:rPr>
          <w:b/>
          <w:bCs/>
        </w:rPr>
        <w:t>to</w:t>
      </w:r>
      <w:r w:rsidRPr="000628CD">
        <w:rPr>
          <w:b/>
          <w:bCs/>
        </w:rPr>
        <w:t xml:space="preserve"> discuss the following options for RRM relaxation: </w:t>
      </w:r>
    </w:p>
    <w:p w14:paraId="4D5D5E47" w14:textId="465A301B" w:rsidR="000628CD" w:rsidRPr="000628CD" w:rsidRDefault="000628CD" w:rsidP="000628CD">
      <w:pPr>
        <w:pStyle w:val="ListParagraph"/>
        <w:numPr>
          <w:ilvl w:val="0"/>
          <w:numId w:val="42"/>
        </w:numPr>
        <w:jc w:val="both"/>
        <w:rPr>
          <w:b/>
          <w:bCs/>
        </w:rPr>
      </w:pPr>
      <w:r w:rsidRPr="000628CD">
        <w:rPr>
          <w:b/>
          <w:bCs/>
        </w:rPr>
        <w:t>Option 1: MR RRM Relaxation from 8 to 16 times</w:t>
      </w:r>
    </w:p>
    <w:p w14:paraId="7FF30EC3" w14:textId="373CCDA7" w:rsidR="000628CD" w:rsidRPr="0011545D" w:rsidRDefault="000628CD" w:rsidP="000628CD">
      <w:pPr>
        <w:pStyle w:val="ListParagraph"/>
        <w:numPr>
          <w:ilvl w:val="0"/>
          <w:numId w:val="42"/>
        </w:numPr>
        <w:jc w:val="both"/>
        <w:rPr>
          <w:b/>
          <w:bCs/>
        </w:rPr>
      </w:pPr>
      <w:r>
        <w:rPr>
          <w:b/>
          <w:bCs/>
        </w:rPr>
        <w:t xml:space="preserve">Option 2: </w:t>
      </w:r>
      <w:r w:rsidRPr="000628CD">
        <w:rPr>
          <w:b/>
          <w:bCs/>
        </w:rPr>
        <w:t>MR RRM Relaxation &gt;=16 times</w:t>
      </w:r>
    </w:p>
    <w:p w14:paraId="7D3B2E0F" w14:textId="360FDDAF" w:rsidR="000628CD" w:rsidRDefault="000628CD" w:rsidP="000628CD">
      <w:pPr>
        <w:jc w:val="both"/>
        <w:rPr>
          <w:b/>
          <w:bCs/>
        </w:rPr>
      </w:pPr>
      <w:r>
        <w:rPr>
          <w:b/>
          <w:bCs/>
        </w:rPr>
        <w:t xml:space="preserve">Proposal </w:t>
      </w:r>
      <w:r w:rsidR="00B825C3">
        <w:rPr>
          <w:b/>
          <w:bCs/>
        </w:rPr>
        <w:t>9</w:t>
      </w:r>
      <w:r>
        <w:rPr>
          <w:b/>
          <w:bCs/>
        </w:rPr>
        <w:t xml:space="preserve">: </w:t>
      </w:r>
      <w:r w:rsidRPr="000628CD">
        <w:rPr>
          <w:b/>
          <w:bCs/>
        </w:rPr>
        <w:t xml:space="preserve">RAN4 to </w:t>
      </w:r>
      <w:r w:rsidR="00737896">
        <w:rPr>
          <w:b/>
          <w:bCs/>
        </w:rPr>
        <w:t>consider</w:t>
      </w:r>
      <w:r>
        <w:rPr>
          <w:b/>
          <w:bCs/>
        </w:rPr>
        <w:t xml:space="preserve"> </w:t>
      </w:r>
      <w:r w:rsidR="007F211E">
        <w:rPr>
          <w:b/>
          <w:bCs/>
        </w:rPr>
        <w:t>multiple</w:t>
      </w:r>
      <w:r>
        <w:rPr>
          <w:b/>
          <w:bCs/>
        </w:rPr>
        <w:t xml:space="preserve"> stages of RRM</w:t>
      </w:r>
      <w:r w:rsidRPr="000628CD">
        <w:rPr>
          <w:b/>
          <w:bCs/>
        </w:rPr>
        <w:t xml:space="preserve"> relaxation</w:t>
      </w:r>
      <w:r w:rsidR="007F211E">
        <w:rPr>
          <w:b/>
          <w:bCs/>
        </w:rPr>
        <w:t xml:space="preserve">, </w:t>
      </w:r>
      <w:r>
        <w:rPr>
          <w:b/>
          <w:bCs/>
        </w:rPr>
        <w:t>with different scaling factors</w:t>
      </w:r>
      <w:r w:rsidR="007F211E">
        <w:rPr>
          <w:b/>
          <w:bCs/>
        </w:rPr>
        <w:t xml:space="preserve"> (e.g., 8 in 1</w:t>
      </w:r>
      <w:r w:rsidR="007F211E" w:rsidRPr="007F211E">
        <w:rPr>
          <w:b/>
          <w:bCs/>
          <w:vertAlign w:val="superscript"/>
        </w:rPr>
        <w:t>st</w:t>
      </w:r>
      <w:r w:rsidR="007F211E">
        <w:rPr>
          <w:b/>
          <w:bCs/>
        </w:rPr>
        <w:t xml:space="preserve"> stage and 16 in 2</w:t>
      </w:r>
      <w:r w:rsidR="007F211E" w:rsidRPr="007F211E">
        <w:rPr>
          <w:b/>
          <w:bCs/>
          <w:vertAlign w:val="superscript"/>
        </w:rPr>
        <w:t>nd</w:t>
      </w:r>
      <w:r w:rsidR="007F211E">
        <w:rPr>
          <w:b/>
          <w:bCs/>
        </w:rPr>
        <w:t xml:space="preserve"> stage) </w:t>
      </w:r>
      <w:r w:rsidRPr="000628CD">
        <w:rPr>
          <w:b/>
          <w:bCs/>
        </w:rPr>
        <w:t>depending on</w:t>
      </w:r>
      <w:r w:rsidR="008451A1">
        <w:rPr>
          <w:b/>
          <w:bCs/>
        </w:rPr>
        <w:t xml:space="preserve"> some</w:t>
      </w:r>
      <w:r w:rsidRPr="000628CD">
        <w:rPr>
          <w:b/>
          <w:bCs/>
        </w:rPr>
        <w:t xml:space="preserve"> conditions (e.g., channel condition, </w:t>
      </w:r>
      <w:r>
        <w:rPr>
          <w:b/>
          <w:bCs/>
        </w:rPr>
        <w:t xml:space="preserve">UE </w:t>
      </w:r>
      <w:r w:rsidRPr="000628CD">
        <w:rPr>
          <w:b/>
          <w:bCs/>
        </w:rPr>
        <w:t>mobility)</w:t>
      </w:r>
      <w:r w:rsidR="008451A1">
        <w:rPr>
          <w:b/>
          <w:bCs/>
        </w:rPr>
        <w:t>.</w:t>
      </w:r>
    </w:p>
    <w:p w14:paraId="35584007" w14:textId="77777777" w:rsidR="000628CD" w:rsidRDefault="000628CD" w:rsidP="000628CD">
      <w:pPr>
        <w:jc w:val="both"/>
        <w:rPr>
          <w:b/>
          <w:bCs/>
        </w:rPr>
      </w:pPr>
    </w:p>
    <w:p w14:paraId="6E3D0B18" w14:textId="560AA4EC" w:rsidR="0011545D" w:rsidRDefault="0011545D" w:rsidP="000628CD">
      <w:pPr>
        <w:jc w:val="both"/>
        <w:rPr>
          <w:bCs/>
        </w:rPr>
      </w:pPr>
      <w:r>
        <w:rPr>
          <w:bCs/>
        </w:rPr>
        <w:t xml:space="preserve">On the other hand, when UE operates in Case#3 (MR and LR are on), the relaxation factor applied for MR </w:t>
      </w:r>
      <w:r w:rsidRPr="0011545D">
        <w:rPr>
          <w:bCs/>
        </w:rPr>
        <w:t xml:space="preserve">serving cell </w:t>
      </w:r>
      <w:r>
        <w:rPr>
          <w:bCs/>
        </w:rPr>
        <w:t>measurement can also be applied for MR n</w:t>
      </w:r>
      <w:r w:rsidRPr="0011545D">
        <w:rPr>
          <w:bCs/>
        </w:rPr>
        <w:t xml:space="preserve">eighbour </w:t>
      </w:r>
      <w:r>
        <w:rPr>
          <w:bCs/>
        </w:rPr>
        <w:t>cell measurements.</w:t>
      </w:r>
    </w:p>
    <w:p w14:paraId="65A41C1C" w14:textId="642343A9" w:rsidR="0011545D" w:rsidRDefault="0011545D" w:rsidP="0011545D">
      <w:pPr>
        <w:jc w:val="both"/>
        <w:rPr>
          <w:b/>
          <w:bCs/>
        </w:rPr>
      </w:pPr>
      <w:r>
        <w:rPr>
          <w:b/>
          <w:bCs/>
        </w:rPr>
        <w:t>Proposal 1</w:t>
      </w:r>
      <w:r w:rsidR="00B825C3">
        <w:rPr>
          <w:b/>
          <w:bCs/>
        </w:rPr>
        <w:t>0</w:t>
      </w:r>
      <w:r>
        <w:rPr>
          <w:b/>
          <w:bCs/>
        </w:rPr>
        <w:t xml:space="preserve">: </w:t>
      </w:r>
      <w:r w:rsidRPr="0011545D">
        <w:rPr>
          <w:b/>
          <w:bCs/>
        </w:rPr>
        <w:t>Same relaxation factor applies to serving and neighbour cell measurements</w:t>
      </w:r>
      <w:r>
        <w:rPr>
          <w:b/>
          <w:bCs/>
        </w:rPr>
        <w:t>.</w:t>
      </w:r>
    </w:p>
    <w:p w14:paraId="682304E0" w14:textId="77777777" w:rsidR="0011545D" w:rsidRDefault="0011545D" w:rsidP="000628CD">
      <w:pPr>
        <w:jc w:val="both"/>
        <w:rPr>
          <w:bCs/>
        </w:rPr>
      </w:pPr>
    </w:p>
    <w:p w14:paraId="2C0980B3" w14:textId="78E35D30" w:rsidR="00827FBE" w:rsidRDefault="00827FBE" w:rsidP="00827FBE">
      <w:pPr>
        <w:pStyle w:val="Heading2"/>
        <w:numPr>
          <w:ilvl w:val="1"/>
          <w:numId w:val="36"/>
        </w:numPr>
        <w:tabs>
          <w:tab w:val="num" w:pos="360"/>
        </w:tabs>
        <w:ind w:left="360" w:hanging="360"/>
        <w:rPr>
          <w:lang w:val="en-US"/>
        </w:rPr>
      </w:pPr>
      <w:r>
        <w:rPr>
          <w:lang w:val="en-US"/>
        </w:rPr>
        <w:t>Others</w:t>
      </w:r>
    </w:p>
    <w:p w14:paraId="38D74173" w14:textId="6BC4E8A9" w:rsidR="0011545D" w:rsidRPr="00827FBE" w:rsidRDefault="00827FBE" w:rsidP="00827FBE">
      <w:pPr>
        <w:rPr>
          <w:lang w:val="en-US" w:eastAsia="ja-JP"/>
        </w:rPr>
      </w:pPr>
      <w:r>
        <w:rPr>
          <w:lang w:val="en-US" w:eastAsia="ja-JP"/>
        </w:rPr>
        <w:t xml:space="preserve">Some other issues were also discussed in RAN4 as captured in the WF </w:t>
      </w:r>
      <w:r>
        <w:rPr>
          <w:lang w:val="en-US" w:eastAsia="ja-JP"/>
        </w:rPr>
        <w:fldChar w:fldCharType="begin"/>
      </w:r>
      <w:r>
        <w:rPr>
          <w:lang w:val="en-US" w:eastAsia="ja-JP"/>
        </w:rPr>
        <w:instrText xml:space="preserve"> REF _Ref178035072 \n \h </w:instrText>
      </w:r>
      <w:r>
        <w:rPr>
          <w:lang w:val="en-US" w:eastAsia="ja-JP"/>
        </w:rPr>
      </w:r>
      <w:r>
        <w:rPr>
          <w:lang w:val="en-US" w:eastAsia="ja-JP"/>
        </w:rPr>
        <w:fldChar w:fldCharType="separate"/>
      </w:r>
      <w:r>
        <w:rPr>
          <w:lang w:val="en-US" w:eastAsia="ja-JP"/>
        </w:rPr>
        <w:t>[1]</w:t>
      </w:r>
      <w:r>
        <w:rPr>
          <w:lang w:val="en-US" w:eastAsia="ja-JP"/>
        </w:rPr>
        <w:fldChar w:fldCharType="end"/>
      </w:r>
      <w:r>
        <w:rPr>
          <w:lang w:val="en-US" w:eastAsia="ja-JP"/>
        </w:rPr>
        <w:t xml:space="preserve"> below:</w:t>
      </w:r>
    </w:p>
    <w:tbl>
      <w:tblPr>
        <w:tblStyle w:val="TableGrid"/>
        <w:tblW w:w="0" w:type="auto"/>
        <w:tblLook w:val="04A0" w:firstRow="1" w:lastRow="0" w:firstColumn="1" w:lastColumn="0" w:noHBand="0" w:noVBand="1"/>
      </w:tblPr>
      <w:tblGrid>
        <w:gridCol w:w="9629"/>
      </w:tblGrid>
      <w:tr w:rsidR="0011545D" w14:paraId="5C07056B" w14:textId="77777777" w:rsidTr="0011545D">
        <w:tc>
          <w:tcPr>
            <w:tcW w:w="9629" w:type="dxa"/>
          </w:tcPr>
          <w:p w14:paraId="149AC6FE" w14:textId="77777777" w:rsidR="00B825C3" w:rsidRDefault="00B825C3" w:rsidP="00B825C3">
            <w:pPr>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 xml:space="preserve">Issue 1-2-1: Accuracy requirements  </w:t>
            </w:r>
          </w:p>
          <w:p w14:paraId="6B186102" w14:textId="77777777" w:rsidR="00827FBE" w:rsidRDefault="00827FBE" w:rsidP="00827FBE">
            <w:pPr>
              <w:rPr>
                <w:rFonts w:ascii="Times New Roman" w:eastAsia="SimSun" w:hAnsi="Times New Roman" w:cs="Times New Roman"/>
                <w:b/>
                <w:color w:val="000000" w:themeColor="text1"/>
                <w:kern w:val="0"/>
                <w:sz w:val="20"/>
                <w:szCs w:val="20"/>
                <w:u w:val="single"/>
                <w:lang w:eastAsia="ko-KR"/>
                <w14:ligatures w14:val="none"/>
              </w:rPr>
            </w:pPr>
          </w:p>
          <w:p w14:paraId="6ABC0892" w14:textId="77777777" w:rsidR="00B825C3" w:rsidRDefault="00B825C3" w:rsidP="00B825C3">
            <w:pPr>
              <w:spacing w:after="120"/>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 xml:space="preserve">Issue 1-2-4: On LP-WUR cell selection evaluation requirements for case 1  </w:t>
            </w:r>
          </w:p>
          <w:p w14:paraId="7D78A180" w14:textId="77777777" w:rsidR="0011545D" w:rsidRDefault="0011545D" w:rsidP="00827FBE">
            <w:pPr>
              <w:rPr>
                <w:i/>
                <w:color w:val="000000" w:themeColor="text1"/>
              </w:rPr>
            </w:pPr>
          </w:p>
          <w:p w14:paraId="2429EB6C" w14:textId="77777777" w:rsidR="00812CBD" w:rsidRDefault="00812CBD" w:rsidP="00812CBD">
            <w:pPr>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Issue 1-4-1: LP-WUR at CONNECTED mode</w:t>
            </w:r>
          </w:p>
          <w:p w14:paraId="101DA31B" w14:textId="797ECC46" w:rsidR="00812CBD" w:rsidRPr="00B825C3" w:rsidRDefault="00812CBD" w:rsidP="00827FBE">
            <w:pPr>
              <w:rPr>
                <w:i/>
                <w:color w:val="000000" w:themeColor="text1"/>
              </w:rPr>
            </w:pPr>
          </w:p>
        </w:tc>
      </w:tr>
    </w:tbl>
    <w:p w14:paraId="7388F319" w14:textId="77777777" w:rsidR="0011545D" w:rsidRDefault="0011545D" w:rsidP="000628CD">
      <w:pPr>
        <w:jc w:val="both"/>
        <w:rPr>
          <w:b/>
          <w:bCs/>
        </w:rPr>
      </w:pPr>
    </w:p>
    <w:p w14:paraId="4D8BB324" w14:textId="687DB41B" w:rsidR="00827FBE" w:rsidRDefault="00827FBE" w:rsidP="000628CD">
      <w:pPr>
        <w:jc w:val="both"/>
        <w:rPr>
          <w:rFonts w:eastAsia="SimSun"/>
          <w:color w:val="000000" w:themeColor="text1"/>
          <w:szCs w:val="24"/>
        </w:rPr>
      </w:pPr>
      <w:r>
        <w:rPr>
          <w:rFonts w:eastAsia="SimSun"/>
          <w:color w:val="000000" w:themeColor="text1"/>
          <w:szCs w:val="24"/>
        </w:rPr>
        <w:t xml:space="preserve">For Issue 1-2-1, we support that not to capture </w:t>
      </w:r>
      <w:r w:rsidRPr="00827FBE">
        <w:rPr>
          <w:rFonts w:eastAsia="SimSun"/>
          <w:color w:val="000000" w:themeColor="text1"/>
          <w:szCs w:val="24"/>
        </w:rPr>
        <w:t xml:space="preserve">dedicated accuracy requirement in the performance section for LR-WUR based RRM measurement in Idle/inactive </w:t>
      </w:r>
      <w:proofErr w:type="gramStart"/>
      <w:r w:rsidRPr="00827FBE">
        <w:rPr>
          <w:rFonts w:eastAsia="SimSun"/>
          <w:color w:val="000000" w:themeColor="text1"/>
          <w:szCs w:val="24"/>
        </w:rPr>
        <w:t>states, and</w:t>
      </w:r>
      <w:proofErr w:type="gramEnd"/>
      <w:r w:rsidRPr="00827FBE">
        <w:rPr>
          <w:rFonts w:eastAsia="SimSun"/>
          <w:color w:val="000000" w:themeColor="text1"/>
          <w:szCs w:val="24"/>
        </w:rPr>
        <w:t xml:space="preserve"> reflect the accuracy performance as a margin in the core requirement</w:t>
      </w:r>
      <w:r>
        <w:rPr>
          <w:rFonts w:eastAsia="SimSun"/>
          <w:color w:val="000000" w:themeColor="text1"/>
          <w:szCs w:val="24"/>
        </w:rPr>
        <w:t>.</w:t>
      </w:r>
    </w:p>
    <w:p w14:paraId="24368899" w14:textId="3B03BA24" w:rsidR="00827FBE" w:rsidRDefault="00827FBE" w:rsidP="000628CD">
      <w:pPr>
        <w:jc w:val="both"/>
        <w:rPr>
          <w:b/>
          <w:bCs/>
        </w:rPr>
      </w:pPr>
      <w:r>
        <w:rPr>
          <w:b/>
          <w:bCs/>
        </w:rPr>
        <w:lastRenderedPageBreak/>
        <w:t>Proposal 1</w:t>
      </w:r>
      <w:r w:rsidR="00B825C3">
        <w:rPr>
          <w:b/>
          <w:bCs/>
        </w:rPr>
        <w:t>1</w:t>
      </w:r>
      <w:r>
        <w:rPr>
          <w:b/>
          <w:bCs/>
        </w:rPr>
        <w:t xml:space="preserve">: </w:t>
      </w:r>
      <w:r w:rsidRPr="00827FBE">
        <w:rPr>
          <w:b/>
          <w:bCs/>
        </w:rPr>
        <w:t xml:space="preserve">No dedicated accuracy requirement is defined in the performance section for LR-WUR based RRM measurement in Idle/inactive </w:t>
      </w:r>
      <w:proofErr w:type="gramStart"/>
      <w:r w:rsidRPr="00827FBE">
        <w:rPr>
          <w:b/>
          <w:bCs/>
        </w:rPr>
        <w:t>states, and</w:t>
      </w:r>
      <w:proofErr w:type="gramEnd"/>
      <w:r w:rsidRPr="00827FBE">
        <w:rPr>
          <w:b/>
          <w:bCs/>
        </w:rPr>
        <w:t xml:space="preserve"> reflect the accuracy performance as a margin in the core requirement.</w:t>
      </w:r>
    </w:p>
    <w:p w14:paraId="16452534" w14:textId="77777777" w:rsidR="0011545D" w:rsidRDefault="0011545D" w:rsidP="000628CD">
      <w:pPr>
        <w:jc w:val="both"/>
        <w:rPr>
          <w:b/>
          <w:bCs/>
        </w:rPr>
      </w:pPr>
    </w:p>
    <w:p w14:paraId="606FCCDF" w14:textId="182FFAC3" w:rsidR="00B825C3" w:rsidRDefault="00827FBE" w:rsidP="000628CD">
      <w:pPr>
        <w:jc w:val="both"/>
        <w:rPr>
          <w:rFonts w:eastAsia="SimSun"/>
          <w:color w:val="000000" w:themeColor="text1"/>
          <w:szCs w:val="24"/>
        </w:rPr>
      </w:pPr>
      <w:r>
        <w:rPr>
          <w:rFonts w:eastAsia="SimSun"/>
          <w:color w:val="000000" w:themeColor="text1"/>
          <w:szCs w:val="24"/>
        </w:rPr>
        <w:t xml:space="preserve">For Issue 1-2-4, </w:t>
      </w:r>
      <w:r w:rsidR="00B825C3">
        <w:rPr>
          <w:rFonts w:eastAsia="SimSun"/>
          <w:color w:val="000000" w:themeColor="text1"/>
          <w:szCs w:val="24"/>
        </w:rPr>
        <w:t xml:space="preserve">since in Case#1 only LR is activated in idle/inactive mode, RAN4 need to discuss whether to define </w:t>
      </w:r>
      <w:r w:rsidR="00B825C3" w:rsidRPr="00B825C3">
        <w:rPr>
          <w:rFonts w:eastAsia="SimSun"/>
          <w:color w:val="000000" w:themeColor="text1"/>
          <w:szCs w:val="24"/>
        </w:rPr>
        <w:t>cell selection</w:t>
      </w:r>
      <w:r w:rsidR="00B825C3">
        <w:rPr>
          <w:rFonts w:eastAsia="SimSun"/>
          <w:color w:val="000000" w:themeColor="text1"/>
          <w:szCs w:val="24"/>
        </w:rPr>
        <w:t xml:space="preserve"> requirements (evaluate S criteria) based on LR measurements. The issue will depend on the threshold configuration for the LR exit condition. If LR exit threshold is higher S criteria </w:t>
      </w:r>
      <w:proofErr w:type="gramStart"/>
      <w:r w:rsidR="00B825C3">
        <w:rPr>
          <w:rFonts w:eastAsia="SimSun"/>
          <w:color w:val="000000" w:themeColor="text1"/>
          <w:szCs w:val="24"/>
        </w:rPr>
        <w:t>threshold</w:t>
      </w:r>
      <w:proofErr w:type="gramEnd"/>
      <w:r w:rsidR="00B825C3">
        <w:rPr>
          <w:rFonts w:eastAsia="SimSun"/>
          <w:color w:val="000000" w:themeColor="text1"/>
          <w:szCs w:val="24"/>
        </w:rPr>
        <w:t xml:space="preserve"> then LR will exit Case#1 anyway even when the measurement is higher than S criteria threshold. Then MR can meet cell selection requirement. This also apply for Case 3 as well.</w:t>
      </w:r>
    </w:p>
    <w:p w14:paraId="18B2BB27" w14:textId="01A86008" w:rsidR="00827FBE" w:rsidRDefault="00827FBE" w:rsidP="000628CD">
      <w:pPr>
        <w:jc w:val="both"/>
        <w:rPr>
          <w:bCs/>
        </w:rPr>
      </w:pPr>
      <w:r>
        <w:rPr>
          <w:b/>
          <w:bCs/>
        </w:rPr>
        <w:t>Proposal 1</w:t>
      </w:r>
      <w:r w:rsidR="00B825C3">
        <w:rPr>
          <w:b/>
          <w:bCs/>
        </w:rPr>
        <w:t>2</w:t>
      </w:r>
      <w:r>
        <w:rPr>
          <w:b/>
          <w:bCs/>
        </w:rPr>
        <w:t xml:space="preserve">: </w:t>
      </w:r>
      <w:r w:rsidR="00B825C3" w:rsidRPr="00B825C3">
        <w:rPr>
          <w:b/>
          <w:bCs/>
        </w:rPr>
        <w:t xml:space="preserve">No need to define the LR based cell selection criterion evaluation in </w:t>
      </w:r>
      <w:r w:rsidR="00B825C3">
        <w:rPr>
          <w:b/>
          <w:bCs/>
        </w:rPr>
        <w:t>C</w:t>
      </w:r>
      <w:r w:rsidR="00B825C3" w:rsidRPr="00B825C3">
        <w:rPr>
          <w:b/>
          <w:bCs/>
        </w:rPr>
        <w:t>ase#1</w:t>
      </w:r>
      <w:r w:rsidR="00B825C3">
        <w:rPr>
          <w:b/>
          <w:bCs/>
        </w:rPr>
        <w:t xml:space="preserve"> and Case#3.</w:t>
      </w:r>
    </w:p>
    <w:p w14:paraId="5CDDC3A5" w14:textId="77777777" w:rsidR="00A16F84" w:rsidRDefault="00A16F84" w:rsidP="00520509">
      <w:pPr>
        <w:jc w:val="both"/>
        <w:rPr>
          <w:lang w:val="en-US"/>
        </w:rPr>
      </w:pPr>
    </w:p>
    <w:p w14:paraId="39896498" w14:textId="31382D42" w:rsidR="00812CBD" w:rsidRDefault="00812CBD" w:rsidP="00520509">
      <w:pPr>
        <w:jc w:val="both"/>
        <w:rPr>
          <w:lang w:val="en-US"/>
        </w:rPr>
      </w:pPr>
      <w:r>
        <w:rPr>
          <w:lang w:val="en-US"/>
        </w:rPr>
        <w:t>For issue 1-4-1, we also agree that n</w:t>
      </w:r>
      <w:r w:rsidRPr="00812CBD">
        <w:rPr>
          <w:lang w:val="en-US"/>
        </w:rPr>
        <w:t xml:space="preserve">o RRM objectives is expected for connected mode </w:t>
      </w:r>
      <w:r>
        <w:rPr>
          <w:lang w:val="en-US"/>
        </w:rPr>
        <w:t>according to the WID.</w:t>
      </w:r>
    </w:p>
    <w:p w14:paraId="1FEB660F" w14:textId="30E5AEB2" w:rsidR="00812CBD" w:rsidRDefault="00812CBD" w:rsidP="00812CBD">
      <w:pPr>
        <w:jc w:val="both"/>
        <w:rPr>
          <w:bCs/>
        </w:rPr>
      </w:pPr>
      <w:r>
        <w:rPr>
          <w:b/>
          <w:bCs/>
        </w:rPr>
        <w:t xml:space="preserve">Proposal 13: </w:t>
      </w:r>
      <w:r w:rsidRPr="00812CBD">
        <w:rPr>
          <w:b/>
          <w:bCs/>
        </w:rPr>
        <w:t>No RRM objectives is expected for connected mode in this WI</w:t>
      </w:r>
      <w:r>
        <w:rPr>
          <w:b/>
          <w:bCs/>
        </w:rPr>
        <w:t>.</w:t>
      </w:r>
    </w:p>
    <w:p w14:paraId="0729AABF" w14:textId="77777777" w:rsidR="00812CBD" w:rsidRPr="00812CBD" w:rsidRDefault="00812CBD" w:rsidP="00520509">
      <w:pPr>
        <w:jc w:val="both"/>
      </w:pPr>
    </w:p>
    <w:p w14:paraId="2A3739F7" w14:textId="544A2EE6" w:rsidR="002634C9" w:rsidRPr="004D4F98" w:rsidRDefault="002634C9" w:rsidP="002634C9">
      <w:pPr>
        <w:pStyle w:val="Heading1"/>
        <w:rPr>
          <w:lang w:val="en-US"/>
        </w:rPr>
      </w:pPr>
      <w:r w:rsidRPr="004D4F98">
        <w:rPr>
          <w:lang w:val="en-US"/>
        </w:rPr>
        <w:t>Summary</w:t>
      </w:r>
    </w:p>
    <w:p w14:paraId="484C0EA9" w14:textId="7DA61F9D" w:rsidR="003D378F" w:rsidRDefault="003D378F" w:rsidP="003D378F">
      <w:pPr>
        <w:jc w:val="both"/>
        <w:rPr>
          <w:lang w:eastAsia="ja-JP"/>
        </w:rPr>
      </w:pPr>
      <w:r>
        <w:rPr>
          <w:lang w:eastAsia="ja-JP"/>
        </w:rPr>
        <w:t xml:space="preserve">In this contribution, the following </w:t>
      </w:r>
      <w:r w:rsidR="00737896">
        <w:rPr>
          <w:lang w:eastAsia="ja-JP"/>
        </w:rPr>
        <w:t>conclusions</w:t>
      </w:r>
      <w:r>
        <w:rPr>
          <w:lang w:eastAsia="ja-JP"/>
        </w:rPr>
        <w:t xml:space="preserve"> are provided:</w:t>
      </w:r>
    </w:p>
    <w:p w14:paraId="1D19BB21" w14:textId="77777777" w:rsidR="00737896" w:rsidRDefault="00737896" w:rsidP="00737896">
      <w:pPr>
        <w:jc w:val="both"/>
        <w:rPr>
          <w:b/>
          <w:bCs/>
        </w:rPr>
      </w:pPr>
      <w:r>
        <w:rPr>
          <w:b/>
          <w:bCs/>
        </w:rPr>
        <w:t xml:space="preserve">Proposal 1: No need to discuss further cases for LP-WUS in RAN4. </w:t>
      </w:r>
    </w:p>
    <w:p w14:paraId="09655072" w14:textId="77777777" w:rsidR="00737896" w:rsidRDefault="00737896" w:rsidP="00737896">
      <w:pPr>
        <w:jc w:val="both"/>
        <w:rPr>
          <w:b/>
          <w:bCs/>
        </w:rPr>
      </w:pPr>
      <w:r>
        <w:rPr>
          <w:b/>
          <w:bCs/>
        </w:rPr>
        <w:t xml:space="preserve">Proposal 2: Based on LR measurements only, RAN4 to define same requirements to evaluate the exit condition for each: 1) exiting from Case#1 to legacy UE and 2) exiting from Case#3 to legacy UE. </w:t>
      </w:r>
    </w:p>
    <w:p w14:paraId="0ECBD299" w14:textId="77777777" w:rsidR="00737896" w:rsidRDefault="00737896" w:rsidP="00737896">
      <w:pPr>
        <w:jc w:val="both"/>
        <w:rPr>
          <w:b/>
          <w:bCs/>
        </w:rPr>
      </w:pPr>
      <w:r>
        <w:rPr>
          <w:b/>
          <w:bCs/>
        </w:rPr>
        <w:t xml:space="preserve">Proposal 3: RAN4 to use the same evaluation requirements for entry condition when switching from Case#1 to Case#3 and from Case#3 to Case#1, </w:t>
      </w:r>
      <w:proofErr w:type="gramStart"/>
      <w:r>
        <w:rPr>
          <w:b/>
          <w:bCs/>
        </w:rPr>
        <w:t>where</w:t>
      </w:r>
      <w:proofErr w:type="gramEnd"/>
    </w:p>
    <w:p w14:paraId="3C5AFF5D" w14:textId="77777777" w:rsidR="00737896" w:rsidRDefault="00737896" w:rsidP="00737896">
      <w:pPr>
        <w:pStyle w:val="ListParagraph"/>
        <w:numPr>
          <w:ilvl w:val="0"/>
          <w:numId w:val="71"/>
        </w:numPr>
        <w:spacing w:line="256" w:lineRule="auto"/>
        <w:jc w:val="both"/>
        <w:rPr>
          <w:b/>
          <w:bCs/>
        </w:rPr>
      </w:pPr>
      <w:r>
        <w:rPr>
          <w:b/>
          <w:bCs/>
        </w:rPr>
        <w:t>entry conditions from Case#1 to Case#3 can be based on LR only.</w:t>
      </w:r>
    </w:p>
    <w:p w14:paraId="0A036D14" w14:textId="77777777" w:rsidR="00737896" w:rsidRDefault="00737896" w:rsidP="00737896">
      <w:pPr>
        <w:pStyle w:val="ListParagraph"/>
        <w:numPr>
          <w:ilvl w:val="0"/>
          <w:numId w:val="71"/>
        </w:numPr>
        <w:spacing w:line="256" w:lineRule="auto"/>
        <w:jc w:val="both"/>
        <w:rPr>
          <w:b/>
          <w:bCs/>
        </w:rPr>
      </w:pPr>
      <w:r>
        <w:rPr>
          <w:b/>
          <w:bCs/>
        </w:rPr>
        <w:t>entry conditions from Case#3 to Case#1 can be based on LR or LR+MR.</w:t>
      </w:r>
    </w:p>
    <w:p w14:paraId="407C4705" w14:textId="77777777" w:rsidR="00737896" w:rsidRDefault="00737896" w:rsidP="00737896">
      <w:pPr>
        <w:jc w:val="both"/>
        <w:rPr>
          <w:b/>
          <w:bCs/>
        </w:rPr>
      </w:pPr>
      <w:r>
        <w:rPr>
          <w:b/>
          <w:bCs/>
        </w:rPr>
        <w:t>Proposal 4: RAN4 to consider LR measurements only to define same requirements to evaluate the entry condition for each: 1) switching from Case#1 to Case#3 and 2) switching from Case#3 to Case#1.</w:t>
      </w:r>
    </w:p>
    <w:p w14:paraId="03BF6D87" w14:textId="248C6648" w:rsidR="00737896" w:rsidRDefault="00737896" w:rsidP="00737896">
      <w:pPr>
        <w:jc w:val="both"/>
        <w:rPr>
          <w:b/>
          <w:bCs/>
        </w:rPr>
      </w:pPr>
      <w:r>
        <w:rPr>
          <w:b/>
          <w:bCs/>
        </w:rPr>
        <w:t>Proposal 5: RAN4 to define requirements to evaluate the entry condition from legacy UE to Case#1 or Case#3 based on MR measurements only.</w:t>
      </w:r>
    </w:p>
    <w:p w14:paraId="6CAD3BE1" w14:textId="77777777" w:rsidR="00737896" w:rsidRDefault="00737896" w:rsidP="00737896">
      <w:pPr>
        <w:jc w:val="both"/>
        <w:rPr>
          <w:b/>
          <w:bCs/>
        </w:rPr>
      </w:pPr>
      <w:r>
        <w:rPr>
          <w:b/>
          <w:bCs/>
        </w:rPr>
        <w:t xml:space="preserve">Proposal 6: Discuss how to avoid the ping pong behaviour when transitioning between different cases based on RRM measurements. </w:t>
      </w:r>
    </w:p>
    <w:p w14:paraId="5C32C30E" w14:textId="77777777" w:rsidR="00737896" w:rsidRDefault="00737896" w:rsidP="00737896">
      <w:pPr>
        <w:jc w:val="both"/>
        <w:rPr>
          <w:b/>
          <w:bCs/>
        </w:rPr>
      </w:pPr>
      <w:r>
        <w:rPr>
          <w:b/>
          <w:bCs/>
        </w:rPr>
        <w:t>Proposal 7: The criteria (entry/exit conditions) for RRM fully offloading and MR RRM measurement relaxation is up to RAN2, but the delay requirement to evaluate these criteria is RAN4 work.</w:t>
      </w:r>
    </w:p>
    <w:p w14:paraId="017A820D" w14:textId="77777777" w:rsidR="00737896" w:rsidRDefault="00737896" w:rsidP="00737896">
      <w:pPr>
        <w:jc w:val="both"/>
        <w:rPr>
          <w:b/>
          <w:bCs/>
        </w:rPr>
      </w:pPr>
      <w:r>
        <w:rPr>
          <w:b/>
          <w:bCs/>
        </w:rPr>
        <w:t xml:space="preserve">Proposal 8: RAN4 to discuss the following options for RRM relaxation: </w:t>
      </w:r>
    </w:p>
    <w:p w14:paraId="53DBDC73" w14:textId="77777777" w:rsidR="00737896" w:rsidRDefault="00737896" w:rsidP="00737896">
      <w:pPr>
        <w:pStyle w:val="ListParagraph"/>
        <w:numPr>
          <w:ilvl w:val="0"/>
          <w:numId w:val="72"/>
        </w:numPr>
        <w:spacing w:line="256" w:lineRule="auto"/>
        <w:jc w:val="both"/>
        <w:rPr>
          <w:b/>
          <w:bCs/>
        </w:rPr>
      </w:pPr>
      <w:r>
        <w:rPr>
          <w:b/>
          <w:bCs/>
        </w:rPr>
        <w:t>Option 1: MR RRM Relaxation from 8 to 16 times</w:t>
      </w:r>
    </w:p>
    <w:p w14:paraId="34A51CAB" w14:textId="77777777" w:rsidR="00737896" w:rsidRDefault="00737896" w:rsidP="00737896">
      <w:pPr>
        <w:pStyle w:val="ListParagraph"/>
        <w:numPr>
          <w:ilvl w:val="0"/>
          <w:numId w:val="72"/>
        </w:numPr>
        <w:spacing w:line="256" w:lineRule="auto"/>
        <w:jc w:val="both"/>
        <w:rPr>
          <w:b/>
          <w:bCs/>
        </w:rPr>
      </w:pPr>
      <w:r>
        <w:rPr>
          <w:b/>
          <w:bCs/>
        </w:rPr>
        <w:t>Option 2: MR RRM Relaxation &gt;=16 times</w:t>
      </w:r>
    </w:p>
    <w:p w14:paraId="3D4998D9" w14:textId="52DFF820" w:rsidR="00737896" w:rsidRDefault="00737896" w:rsidP="00737896">
      <w:pPr>
        <w:jc w:val="both"/>
        <w:rPr>
          <w:b/>
          <w:bCs/>
        </w:rPr>
      </w:pPr>
      <w:r>
        <w:rPr>
          <w:b/>
          <w:bCs/>
        </w:rPr>
        <w:lastRenderedPageBreak/>
        <w:t>Proposal 9: RAN4 to consider multiple stages of RRM relaxation, with different scaling factors (e.g., 8 in 1</w:t>
      </w:r>
      <w:r>
        <w:rPr>
          <w:b/>
          <w:bCs/>
          <w:vertAlign w:val="superscript"/>
        </w:rPr>
        <w:t>st</w:t>
      </w:r>
      <w:r>
        <w:rPr>
          <w:b/>
          <w:bCs/>
        </w:rPr>
        <w:t xml:space="preserve"> stage and 16 in 2</w:t>
      </w:r>
      <w:r>
        <w:rPr>
          <w:b/>
          <w:bCs/>
          <w:vertAlign w:val="superscript"/>
        </w:rPr>
        <w:t>nd</w:t>
      </w:r>
      <w:r>
        <w:rPr>
          <w:b/>
          <w:bCs/>
        </w:rPr>
        <w:t xml:space="preserve"> stage) depending on some conditions (e.g., channel condition, UE mobility).</w:t>
      </w:r>
    </w:p>
    <w:p w14:paraId="187BF740" w14:textId="77777777" w:rsidR="00737896" w:rsidRDefault="00737896" w:rsidP="00737896">
      <w:pPr>
        <w:jc w:val="both"/>
        <w:rPr>
          <w:b/>
          <w:bCs/>
        </w:rPr>
      </w:pPr>
      <w:r>
        <w:rPr>
          <w:b/>
          <w:bCs/>
        </w:rPr>
        <w:t>Proposal 10: Same relaxation factor applies to serving and neighbour cell measurements.</w:t>
      </w:r>
    </w:p>
    <w:p w14:paraId="16A487A2" w14:textId="77777777" w:rsidR="00737896" w:rsidRDefault="00737896" w:rsidP="00737896">
      <w:pPr>
        <w:jc w:val="both"/>
        <w:rPr>
          <w:b/>
          <w:bCs/>
        </w:rPr>
      </w:pPr>
      <w:r>
        <w:rPr>
          <w:b/>
          <w:bCs/>
        </w:rPr>
        <w:t xml:space="preserve">Proposal 11: No dedicated accuracy requirement is defined in the performance section for LR-WUR based RRM measurement in Idle/inactive </w:t>
      </w:r>
      <w:proofErr w:type="gramStart"/>
      <w:r>
        <w:rPr>
          <w:b/>
          <w:bCs/>
        </w:rPr>
        <w:t>states, and</w:t>
      </w:r>
      <w:proofErr w:type="gramEnd"/>
      <w:r>
        <w:rPr>
          <w:b/>
          <w:bCs/>
        </w:rPr>
        <w:t xml:space="preserve"> reflect the accuracy performance as a margin in the core requirement.</w:t>
      </w:r>
    </w:p>
    <w:p w14:paraId="7A128693" w14:textId="77777777" w:rsidR="00737896" w:rsidRDefault="00737896" w:rsidP="00737896">
      <w:pPr>
        <w:jc w:val="both"/>
        <w:rPr>
          <w:bCs/>
        </w:rPr>
      </w:pPr>
      <w:r>
        <w:rPr>
          <w:b/>
          <w:bCs/>
        </w:rPr>
        <w:t>Proposal 12: No need to define the LR based cell selection criterion evaluation in Case#1 and Case#3.</w:t>
      </w:r>
    </w:p>
    <w:p w14:paraId="72EFA562" w14:textId="77777777" w:rsidR="00737896" w:rsidRDefault="00737896" w:rsidP="00737896">
      <w:pPr>
        <w:jc w:val="both"/>
        <w:rPr>
          <w:bCs/>
        </w:rPr>
      </w:pPr>
      <w:r>
        <w:rPr>
          <w:b/>
          <w:bCs/>
        </w:rPr>
        <w:t>Proposal 13: No RRM objectives is expected for connected mode in this WI.</w:t>
      </w:r>
    </w:p>
    <w:p w14:paraId="23396E92" w14:textId="77777777" w:rsidR="00420056" w:rsidRPr="00420056" w:rsidRDefault="00420056"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76F1DE54" w14:textId="7D72B5E1" w:rsidR="0040238E" w:rsidRDefault="0040238E" w:rsidP="00FE3880">
      <w:pPr>
        <w:pStyle w:val="ListParagraph"/>
        <w:numPr>
          <w:ilvl w:val="0"/>
          <w:numId w:val="2"/>
        </w:numPr>
      </w:pPr>
      <w:bookmarkStart w:id="8" w:name="_Ref166062061"/>
      <w:bookmarkStart w:id="9" w:name="_Ref178035072"/>
      <w:r w:rsidRPr="00BC2282">
        <w:t>R4-</w:t>
      </w:r>
      <w:r w:rsidR="00746C07" w:rsidRPr="00746C07">
        <w:t>2416861</w:t>
      </w:r>
      <w:r w:rsidRPr="00BC2282">
        <w:t xml:space="preserve">, </w:t>
      </w:r>
      <w:r w:rsidR="00746C07" w:rsidRPr="00746C07">
        <w:t>WF on RRM requirements for NR_LPWUS</w:t>
      </w:r>
      <w:r w:rsidRPr="00BC2282">
        <w:t>, vivo</w:t>
      </w:r>
      <w:bookmarkEnd w:id="8"/>
      <w:r w:rsidR="00BC2282">
        <w:t>.</w:t>
      </w:r>
      <w:bookmarkEnd w:id="9"/>
    </w:p>
    <w:p w14:paraId="45B59216" w14:textId="07D21A76" w:rsidR="005F5A92" w:rsidRDefault="005F5A92" w:rsidP="005F5A92">
      <w:pPr>
        <w:pStyle w:val="ListParagraph"/>
        <w:numPr>
          <w:ilvl w:val="0"/>
          <w:numId w:val="2"/>
        </w:numPr>
        <w:spacing w:line="256" w:lineRule="auto"/>
      </w:pPr>
      <w:bookmarkStart w:id="10" w:name="_Ref91246572"/>
      <w:r>
        <w:t>RP-</w:t>
      </w:r>
      <w:r w:rsidR="0035228A" w:rsidRPr="0035228A">
        <w:t>241824</w:t>
      </w:r>
      <w:r>
        <w:t xml:space="preserve">, </w:t>
      </w:r>
      <w:r w:rsidR="0035228A" w:rsidRPr="0035228A">
        <w:t>Revised WID: Low-power wake-up signal and receiver for NR (LP-WUS/WUR)</w:t>
      </w:r>
      <w:r>
        <w:t>, vivo, NTT DOCOMO.</w:t>
      </w:r>
      <w:bookmarkEnd w:id="10"/>
    </w:p>
    <w:p w14:paraId="3EC43B42" w14:textId="3F8DE8F5" w:rsidR="00BC2282" w:rsidRDefault="00BC2282" w:rsidP="00BC2282">
      <w:pPr>
        <w:pStyle w:val="ListParagraph"/>
        <w:numPr>
          <w:ilvl w:val="0"/>
          <w:numId w:val="2"/>
        </w:numPr>
        <w:spacing w:line="256" w:lineRule="auto"/>
      </w:pPr>
      <w:bookmarkStart w:id="11" w:name="_Ref166148428"/>
      <w:r w:rsidRPr="00BC2282">
        <w:t>3GPP TR 38.869</w:t>
      </w:r>
      <w:r>
        <w:t>, “</w:t>
      </w:r>
      <w:r w:rsidRPr="00BC2282">
        <w:t>Study on low-power wake-up signal and receiver for NR</w:t>
      </w:r>
      <w:r>
        <w:t xml:space="preserve"> </w:t>
      </w:r>
      <w:r w:rsidRPr="00BC2282">
        <w:t>(Release 18)</w:t>
      </w:r>
      <w:r>
        <w:t xml:space="preserve">”, </w:t>
      </w:r>
      <w:r w:rsidRPr="00BC2282">
        <w:t>V18.0.0</w:t>
      </w:r>
      <w:r>
        <w:t>.</w:t>
      </w:r>
      <w:bookmarkEnd w:id="11"/>
    </w:p>
    <w:p w14:paraId="59361799" w14:textId="53C6F408" w:rsidR="00737C98" w:rsidRDefault="00737C98" w:rsidP="00BC2282">
      <w:pPr>
        <w:pStyle w:val="ListParagraph"/>
        <w:numPr>
          <w:ilvl w:val="0"/>
          <w:numId w:val="2"/>
        </w:numPr>
        <w:spacing w:line="256" w:lineRule="auto"/>
      </w:pPr>
      <w:bookmarkStart w:id="12" w:name="_Ref181902462"/>
      <w:r w:rsidRPr="00737C98">
        <w:t>R2-2409212</w:t>
      </w:r>
      <w:r>
        <w:t>, Report from session on Rel-18 MIMO and MUSIM, Rel-19 MIMO, LPWUS, and SBFD, CATT</w:t>
      </w:r>
      <w:bookmarkEnd w:id="12"/>
    </w:p>
    <w:p w14:paraId="48BD853C" w14:textId="6D88853A" w:rsidR="006A7A50" w:rsidRPr="001A5974" w:rsidRDefault="006A7A50" w:rsidP="00164D3F">
      <w:pPr>
        <w:pStyle w:val="ListParagraph"/>
        <w:spacing w:line="256" w:lineRule="auto"/>
        <w:ind w:left="405"/>
      </w:pPr>
    </w:p>
    <w:sectPr w:rsidR="006A7A50" w:rsidRPr="001A5974" w:rsidSect="002662DA">
      <w:headerReference w:type="even" r:id="rId15"/>
      <w:footerReference w:type="default" r:id="rId16"/>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7386B" w14:textId="77777777" w:rsidR="00C6085B" w:rsidRDefault="00C6085B">
      <w:r>
        <w:separator/>
      </w:r>
    </w:p>
  </w:endnote>
  <w:endnote w:type="continuationSeparator" w:id="0">
    <w:p w14:paraId="1FC6E9A5" w14:textId="77777777" w:rsidR="00C6085B" w:rsidRDefault="00C6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2DDB5" w14:textId="77777777" w:rsidR="00C6085B" w:rsidRDefault="00C6085B">
      <w:r>
        <w:separator/>
      </w:r>
    </w:p>
  </w:footnote>
  <w:footnote w:type="continuationSeparator" w:id="0">
    <w:p w14:paraId="405DF45F" w14:textId="77777777" w:rsidR="00C6085B" w:rsidRDefault="00C60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77F43F6"/>
    <w:multiLevelType w:val="hybridMultilevel"/>
    <w:tmpl w:val="DD3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090C"/>
    <w:multiLevelType w:val="hybridMultilevel"/>
    <w:tmpl w:val="7B421996"/>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3" w15:restartNumberingAfterBreak="0">
    <w:nsid w:val="0C6E071C"/>
    <w:multiLevelType w:val="hybridMultilevel"/>
    <w:tmpl w:val="8D709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0205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B67E06"/>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 w15:restartNumberingAfterBreak="0">
    <w:nsid w:val="100704A4"/>
    <w:multiLevelType w:val="hybridMultilevel"/>
    <w:tmpl w:val="80ACA882"/>
    <w:lvl w:ilvl="0" w:tplc="E73A1E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604B1C"/>
    <w:multiLevelType w:val="hybridMultilevel"/>
    <w:tmpl w:val="6EBEF6B4"/>
    <w:lvl w:ilvl="0" w:tplc="0EA2CBB0">
      <w:start w:val="1"/>
      <w:numFmt w:val="decimal"/>
      <w:lvlText w:val="%1)"/>
      <w:lvlJc w:val="left"/>
      <w:pPr>
        <w:tabs>
          <w:tab w:val="num" w:pos="720"/>
        </w:tabs>
        <w:ind w:left="720" w:hanging="360"/>
      </w:pPr>
    </w:lvl>
    <w:lvl w:ilvl="1" w:tplc="D2686B64">
      <w:start w:val="1"/>
      <w:numFmt w:val="decimal"/>
      <w:lvlText w:val="%2)"/>
      <w:lvlJc w:val="left"/>
      <w:pPr>
        <w:tabs>
          <w:tab w:val="num" w:pos="1440"/>
        </w:tabs>
        <w:ind w:left="1440" w:hanging="360"/>
      </w:pPr>
    </w:lvl>
    <w:lvl w:ilvl="2" w:tplc="4C4EAA4C" w:tentative="1">
      <w:start w:val="1"/>
      <w:numFmt w:val="decimal"/>
      <w:lvlText w:val="%3)"/>
      <w:lvlJc w:val="left"/>
      <w:pPr>
        <w:tabs>
          <w:tab w:val="num" w:pos="2160"/>
        </w:tabs>
        <w:ind w:left="2160" w:hanging="360"/>
      </w:pPr>
    </w:lvl>
    <w:lvl w:ilvl="3" w:tplc="CE0C2626" w:tentative="1">
      <w:start w:val="1"/>
      <w:numFmt w:val="decimal"/>
      <w:lvlText w:val="%4)"/>
      <w:lvlJc w:val="left"/>
      <w:pPr>
        <w:tabs>
          <w:tab w:val="num" w:pos="2880"/>
        </w:tabs>
        <w:ind w:left="2880" w:hanging="360"/>
      </w:pPr>
    </w:lvl>
    <w:lvl w:ilvl="4" w:tplc="E000EBE6" w:tentative="1">
      <w:start w:val="1"/>
      <w:numFmt w:val="decimal"/>
      <w:lvlText w:val="%5)"/>
      <w:lvlJc w:val="left"/>
      <w:pPr>
        <w:tabs>
          <w:tab w:val="num" w:pos="3600"/>
        </w:tabs>
        <w:ind w:left="3600" w:hanging="360"/>
      </w:pPr>
    </w:lvl>
    <w:lvl w:ilvl="5" w:tplc="77AC76E4" w:tentative="1">
      <w:start w:val="1"/>
      <w:numFmt w:val="decimal"/>
      <w:lvlText w:val="%6)"/>
      <w:lvlJc w:val="left"/>
      <w:pPr>
        <w:tabs>
          <w:tab w:val="num" w:pos="4320"/>
        </w:tabs>
        <w:ind w:left="4320" w:hanging="360"/>
      </w:pPr>
    </w:lvl>
    <w:lvl w:ilvl="6" w:tplc="65B06D76" w:tentative="1">
      <w:start w:val="1"/>
      <w:numFmt w:val="decimal"/>
      <w:lvlText w:val="%7)"/>
      <w:lvlJc w:val="left"/>
      <w:pPr>
        <w:tabs>
          <w:tab w:val="num" w:pos="5040"/>
        </w:tabs>
        <w:ind w:left="5040" w:hanging="360"/>
      </w:pPr>
    </w:lvl>
    <w:lvl w:ilvl="7" w:tplc="DAD82C7E" w:tentative="1">
      <w:start w:val="1"/>
      <w:numFmt w:val="decimal"/>
      <w:lvlText w:val="%8)"/>
      <w:lvlJc w:val="left"/>
      <w:pPr>
        <w:tabs>
          <w:tab w:val="num" w:pos="5760"/>
        </w:tabs>
        <w:ind w:left="5760" w:hanging="360"/>
      </w:pPr>
    </w:lvl>
    <w:lvl w:ilvl="8" w:tplc="3F0CFD02" w:tentative="1">
      <w:start w:val="1"/>
      <w:numFmt w:val="decimal"/>
      <w:lvlText w:val="%9)"/>
      <w:lvlJc w:val="left"/>
      <w:pPr>
        <w:tabs>
          <w:tab w:val="num" w:pos="6480"/>
        </w:tabs>
        <w:ind w:left="6480" w:hanging="360"/>
      </w:pPr>
    </w:lvl>
  </w:abstractNum>
  <w:abstractNum w:abstractNumId="9"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A13DD6"/>
    <w:multiLevelType w:val="hybridMultilevel"/>
    <w:tmpl w:val="FC48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F4092F"/>
    <w:multiLevelType w:val="hybridMultilevel"/>
    <w:tmpl w:val="E1E6C2EA"/>
    <w:lvl w:ilvl="0" w:tplc="24543218">
      <w:start w:val="1"/>
      <w:numFmt w:val="decimal"/>
      <w:lvlText w:val="%1)"/>
      <w:lvlJc w:val="left"/>
      <w:pPr>
        <w:tabs>
          <w:tab w:val="num" w:pos="720"/>
        </w:tabs>
        <w:ind w:left="720" w:hanging="360"/>
      </w:pPr>
    </w:lvl>
    <w:lvl w:ilvl="1" w:tplc="16B226A0">
      <w:start w:val="1"/>
      <w:numFmt w:val="decimal"/>
      <w:lvlText w:val="%2)"/>
      <w:lvlJc w:val="left"/>
      <w:pPr>
        <w:tabs>
          <w:tab w:val="num" w:pos="1440"/>
        </w:tabs>
        <w:ind w:left="1440" w:hanging="360"/>
      </w:pPr>
    </w:lvl>
    <w:lvl w:ilvl="2" w:tplc="17F2ECBA" w:tentative="1">
      <w:start w:val="1"/>
      <w:numFmt w:val="decimal"/>
      <w:lvlText w:val="%3)"/>
      <w:lvlJc w:val="left"/>
      <w:pPr>
        <w:tabs>
          <w:tab w:val="num" w:pos="2160"/>
        </w:tabs>
        <w:ind w:left="2160" w:hanging="360"/>
      </w:pPr>
    </w:lvl>
    <w:lvl w:ilvl="3" w:tplc="39748758" w:tentative="1">
      <w:start w:val="1"/>
      <w:numFmt w:val="decimal"/>
      <w:lvlText w:val="%4)"/>
      <w:lvlJc w:val="left"/>
      <w:pPr>
        <w:tabs>
          <w:tab w:val="num" w:pos="2880"/>
        </w:tabs>
        <w:ind w:left="2880" w:hanging="360"/>
      </w:pPr>
    </w:lvl>
    <w:lvl w:ilvl="4" w:tplc="CBEC936C" w:tentative="1">
      <w:start w:val="1"/>
      <w:numFmt w:val="decimal"/>
      <w:lvlText w:val="%5)"/>
      <w:lvlJc w:val="left"/>
      <w:pPr>
        <w:tabs>
          <w:tab w:val="num" w:pos="3600"/>
        </w:tabs>
        <w:ind w:left="3600" w:hanging="360"/>
      </w:pPr>
    </w:lvl>
    <w:lvl w:ilvl="5" w:tplc="00EA8A5E" w:tentative="1">
      <w:start w:val="1"/>
      <w:numFmt w:val="decimal"/>
      <w:lvlText w:val="%6)"/>
      <w:lvlJc w:val="left"/>
      <w:pPr>
        <w:tabs>
          <w:tab w:val="num" w:pos="4320"/>
        </w:tabs>
        <w:ind w:left="4320" w:hanging="360"/>
      </w:pPr>
    </w:lvl>
    <w:lvl w:ilvl="6" w:tplc="BCFC7F06" w:tentative="1">
      <w:start w:val="1"/>
      <w:numFmt w:val="decimal"/>
      <w:lvlText w:val="%7)"/>
      <w:lvlJc w:val="left"/>
      <w:pPr>
        <w:tabs>
          <w:tab w:val="num" w:pos="5040"/>
        </w:tabs>
        <w:ind w:left="5040" w:hanging="360"/>
      </w:pPr>
    </w:lvl>
    <w:lvl w:ilvl="7" w:tplc="AB880A5E" w:tentative="1">
      <w:start w:val="1"/>
      <w:numFmt w:val="decimal"/>
      <w:lvlText w:val="%8)"/>
      <w:lvlJc w:val="left"/>
      <w:pPr>
        <w:tabs>
          <w:tab w:val="num" w:pos="5760"/>
        </w:tabs>
        <w:ind w:left="5760" w:hanging="360"/>
      </w:pPr>
    </w:lvl>
    <w:lvl w:ilvl="8" w:tplc="F4CA6CBC" w:tentative="1">
      <w:start w:val="1"/>
      <w:numFmt w:val="decimal"/>
      <w:lvlText w:val="%9)"/>
      <w:lvlJc w:val="left"/>
      <w:pPr>
        <w:tabs>
          <w:tab w:val="num" w:pos="6480"/>
        </w:tabs>
        <w:ind w:left="6480" w:hanging="360"/>
      </w:pPr>
    </w:lvl>
  </w:abstractNum>
  <w:abstractNum w:abstractNumId="14"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CD3902"/>
    <w:multiLevelType w:val="multilevel"/>
    <w:tmpl w:val="5D7E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24533E"/>
    <w:multiLevelType w:val="hybridMultilevel"/>
    <w:tmpl w:val="C7EE9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B8706B"/>
    <w:multiLevelType w:val="hybridMultilevel"/>
    <w:tmpl w:val="D902D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D30900"/>
    <w:multiLevelType w:val="hybridMultilevel"/>
    <w:tmpl w:val="FF6A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6F2BE1"/>
    <w:multiLevelType w:val="hybridMultilevel"/>
    <w:tmpl w:val="31FE57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B6F6479"/>
    <w:multiLevelType w:val="hybridMultilevel"/>
    <w:tmpl w:val="8196DF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6" w15:restartNumberingAfterBreak="0">
    <w:nsid w:val="3E8C5437"/>
    <w:multiLevelType w:val="hybridMultilevel"/>
    <w:tmpl w:val="3FB44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8"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0" w15:restartNumberingAfterBreak="0">
    <w:nsid w:val="4DAE5859"/>
    <w:multiLevelType w:val="hybridMultilevel"/>
    <w:tmpl w:val="3312B00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31"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04E05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2F849AE"/>
    <w:multiLevelType w:val="hybridMultilevel"/>
    <w:tmpl w:val="A9DA977E"/>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abstractNum w:abstractNumId="35"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5E257E5A"/>
    <w:multiLevelType w:val="hybridMultilevel"/>
    <w:tmpl w:val="18CA82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9" w15:restartNumberingAfterBreak="0">
    <w:nsid w:val="677C46EF"/>
    <w:multiLevelType w:val="hybridMultilevel"/>
    <w:tmpl w:val="F418C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095E13"/>
    <w:multiLevelType w:val="hybridMultilevel"/>
    <w:tmpl w:val="87706C3A"/>
    <w:lvl w:ilvl="0" w:tplc="74380178">
      <w:start w:val="1"/>
      <w:numFmt w:val="bullet"/>
      <w:lvlText w:val=""/>
      <w:lvlJc w:val="left"/>
      <w:pPr>
        <w:tabs>
          <w:tab w:val="num" w:pos="720"/>
        </w:tabs>
        <w:ind w:left="720" w:hanging="360"/>
      </w:pPr>
      <w:rPr>
        <w:rFonts w:ascii="Wingdings" w:hAnsi="Wingdings" w:hint="default"/>
      </w:rPr>
    </w:lvl>
    <w:lvl w:ilvl="1" w:tplc="ABD21B8C" w:tentative="1">
      <w:start w:val="1"/>
      <w:numFmt w:val="bullet"/>
      <w:lvlText w:val=""/>
      <w:lvlJc w:val="left"/>
      <w:pPr>
        <w:tabs>
          <w:tab w:val="num" w:pos="1440"/>
        </w:tabs>
        <w:ind w:left="1440" w:hanging="360"/>
      </w:pPr>
      <w:rPr>
        <w:rFonts w:ascii="Wingdings" w:hAnsi="Wingdings" w:hint="default"/>
      </w:rPr>
    </w:lvl>
    <w:lvl w:ilvl="2" w:tplc="40B82CE6" w:tentative="1">
      <w:start w:val="1"/>
      <w:numFmt w:val="bullet"/>
      <w:lvlText w:val=""/>
      <w:lvlJc w:val="left"/>
      <w:pPr>
        <w:tabs>
          <w:tab w:val="num" w:pos="2160"/>
        </w:tabs>
        <w:ind w:left="2160" w:hanging="360"/>
      </w:pPr>
      <w:rPr>
        <w:rFonts w:ascii="Wingdings" w:hAnsi="Wingdings" w:hint="default"/>
      </w:rPr>
    </w:lvl>
    <w:lvl w:ilvl="3" w:tplc="022CC89C" w:tentative="1">
      <w:start w:val="1"/>
      <w:numFmt w:val="bullet"/>
      <w:lvlText w:val=""/>
      <w:lvlJc w:val="left"/>
      <w:pPr>
        <w:tabs>
          <w:tab w:val="num" w:pos="2880"/>
        </w:tabs>
        <w:ind w:left="2880" w:hanging="360"/>
      </w:pPr>
      <w:rPr>
        <w:rFonts w:ascii="Wingdings" w:hAnsi="Wingdings" w:hint="default"/>
      </w:rPr>
    </w:lvl>
    <w:lvl w:ilvl="4" w:tplc="B290C21A" w:tentative="1">
      <w:start w:val="1"/>
      <w:numFmt w:val="bullet"/>
      <w:lvlText w:val=""/>
      <w:lvlJc w:val="left"/>
      <w:pPr>
        <w:tabs>
          <w:tab w:val="num" w:pos="3600"/>
        </w:tabs>
        <w:ind w:left="3600" w:hanging="360"/>
      </w:pPr>
      <w:rPr>
        <w:rFonts w:ascii="Wingdings" w:hAnsi="Wingdings" w:hint="default"/>
      </w:rPr>
    </w:lvl>
    <w:lvl w:ilvl="5" w:tplc="0D1AE7CC" w:tentative="1">
      <w:start w:val="1"/>
      <w:numFmt w:val="bullet"/>
      <w:lvlText w:val=""/>
      <w:lvlJc w:val="left"/>
      <w:pPr>
        <w:tabs>
          <w:tab w:val="num" w:pos="4320"/>
        </w:tabs>
        <w:ind w:left="4320" w:hanging="360"/>
      </w:pPr>
      <w:rPr>
        <w:rFonts w:ascii="Wingdings" w:hAnsi="Wingdings" w:hint="default"/>
      </w:rPr>
    </w:lvl>
    <w:lvl w:ilvl="6" w:tplc="01BA8EFC" w:tentative="1">
      <w:start w:val="1"/>
      <w:numFmt w:val="bullet"/>
      <w:lvlText w:val=""/>
      <w:lvlJc w:val="left"/>
      <w:pPr>
        <w:tabs>
          <w:tab w:val="num" w:pos="5040"/>
        </w:tabs>
        <w:ind w:left="5040" w:hanging="360"/>
      </w:pPr>
      <w:rPr>
        <w:rFonts w:ascii="Wingdings" w:hAnsi="Wingdings" w:hint="default"/>
      </w:rPr>
    </w:lvl>
    <w:lvl w:ilvl="7" w:tplc="ED7C56D4" w:tentative="1">
      <w:start w:val="1"/>
      <w:numFmt w:val="bullet"/>
      <w:lvlText w:val=""/>
      <w:lvlJc w:val="left"/>
      <w:pPr>
        <w:tabs>
          <w:tab w:val="num" w:pos="5760"/>
        </w:tabs>
        <w:ind w:left="5760" w:hanging="360"/>
      </w:pPr>
      <w:rPr>
        <w:rFonts w:ascii="Wingdings" w:hAnsi="Wingdings" w:hint="default"/>
      </w:rPr>
    </w:lvl>
    <w:lvl w:ilvl="8" w:tplc="746CD78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E94E7A"/>
    <w:multiLevelType w:val="hybridMultilevel"/>
    <w:tmpl w:val="D928537C"/>
    <w:lvl w:ilvl="0" w:tplc="0F3820AE">
      <w:start w:val="1"/>
      <w:numFmt w:val="bullet"/>
      <w:lvlText w:val="•"/>
      <w:lvlJc w:val="left"/>
      <w:pPr>
        <w:tabs>
          <w:tab w:val="num" w:pos="720"/>
        </w:tabs>
        <w:ind w:left="720" w:hanging="360"/>
      </w:pPr>
      <w:rPr>
        <w:rFonts w:ascii="Arial" w:hAnsi="Arial" w:hint="default"/>
      </w:rPr>
    </w:lvl>
    <w:lvl w:ilvl="1" w:tplc="22F8E3A4">
      <w:start w:val="1"/>
      <w:numFmt w:val="bullet"/>
      <w:lvlText w:val="•"/>
      <w:lvlJc w:val="left"/>
      <w:pPr>
        <w:tabs>
          <w:tab w:val="num" w:pos="1440"/>
        </w:tabs>
        <w:ind w:left="1440" w:hanging="360"/>
      </w:pPr>
      <w:rPr>
        <w:rFonts w:ascii="Arial" w:hAnsi="Arial" w:hint="default"/>
      </w:rPr>
    </w:lvl>
    <w:lvl w:ilvl="2" w:tplc="BA468688" w:tentative="1">
      <w:start w:val="1"/>
      <w:numFmt w:val="bullet"/>
      <w:lvlText w:val="•"/>
      <w:lvlJc w:val="left"/>
      <w:pPr>
        <w:tabs>
          <w:tab w:val="num" w:pos="2160"/>
        </w:tabs>
        <w:ind w:left="2160" w:hanging="360"/>
      </w:pPr>
      <w:rPr>
        <w:rFonts w:ascii="Arial" w:hAnsi="Arial" w:hint="default"/>
      </w:rPr>
    </w:lvl>
    <w:lvl w:ilvl="3" w:tplc="A6268EBA" w:tentative="1">
      <w:start w:val="1"/>
      <w:numFmt w:val="bullet"/>
      <w:lvlText w:val="•"/>
      <w:lvlJc w:val="left"/>
      <w:pPr>
        <w:tabs>
          <w:tab w:val="num" w:pos="2880"/>
        </w:tabs>
        <w:ind w:left="2880" w:hanging="360"/>
      </w:pPr>
      <w:rPr>
        <w:rFonts w:ascii="Arial" w:hAnsi="Arial" w:hint="default"/>
      </w:rPr>
    </w:lvl>
    <w:lvl w:ilvl="4" w:tplc="DFA8CDE6" w:tentative="1">
      <w:start w:val="1"/>
      <w:numFmt w:val="bullet"/>
      <w:lvlText w:val="•"/>
      <w:lvlJc w:val="left"/>
      <w:pPr>
        <w:tabs>
          <w:tab w:val="num" w:pos="3600"/>
        </w:tabs>
        <w:ind w:left="3600" w:hanging="360"/>
      </w:pPr>
      <w:rPr>
        <w:rFonts w:ascii="Arial" w:hAnsi="Arial" w:hint="default"/>
      </w:rPr>
    </w:lvl>
    <w:lvl w:ilvl="5" w:tplc="6A38634A" w:tentative="1">
      <w:start w:val="1"/>
      <w:numFmt w:val="bullet"/>
      <w:lvlText w:val="•"/>
      <w:lvlJc w:val="left"/>
      <w:pPr>
        <w:tabs>
          <w:tab w:val="num" w:pos="4320"/>
        </w:tabs>
        <w:ind w:left="4320" w:hanging="360"/>
      </w:pPr>
      <w:rPr>
        <w:rFonts w:ascii="Arial" w:hAnsi="Arial" w:hint="default"/>
      </w:rPr>
    </w:lvl>
    <w:lvl w:ilvl="6" w:tplc="72E8A61A" w:tentative="1">
      <w:start w:val="1"/>
      <w:numFmt w:val="bullet"/>
      <w:lvlText w:val="•"/>
      <w:lvlJc w:val="left"/>
      <w:pPr>
        <w:tabs>
          <w:tab w:val="num" w:pos="5040"/>
        </w:tabs>
        <w:ind w:left="5040" w:hanging="360"/>
      </w:pPr>
      <w:rPr>
        <w:rFonts w:ascii="Arial" w:hAnsi="Arial" w:hint="default"/>
      </w:rPr>
    </w:lvl>
    <w:lvl w:ilvl="7" w:tplc="E0F48508" w:tentative="1">
      <w:start w:val="1"/>
      <w:numFmt w:val="bullet"/>
      <w:lvlText w:val="•"/>
      <w:lvlJc w:val="left"/>
      <w:pPr>
        <w:tabs>
          <w:tab w:val="num" w:pos="5760"/>
        </w:tabs>
        <w:ind w:left="5760" w:hanging="360"/>
      </w:pPr>
      <w:rPr>
        <w:rFonts w:ascii="Arial" w:hAnsi="Arial" w:hint="default"/>
      </w:rPr>
    </w:lvl>
    <w:lvl w:ilvl="8" w:tplc="FD7628C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8710A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44"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45"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8" w15:restartNumberingAfterBreak="0">
    <w:nsid w:val="7E990EC2"/>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49" w15:restartNumberingAfterBreak="0">
    <w:nsid w:val="7ED50FBE"/>
    <w:multiLevelType w:val="hybridMultilevel"/>
    <w:tmpl w:val="27EA9344"/>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num w:numId="1" w16cid:durableId="880285946">
    <w:abstractNumId w:val="47"/>
  </w:num>
  <w:num w:numId="2" w16cid:durableId="17387490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21"/>
  </w:num>
  <w:num w:numId="4" w16cid:durableId="157951399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22"/>
  </w:num>
  <w:num w:numId="6" w16cid:durableId="123088283">
    <w:abstractNumId w:val="28"/>
  </w:num>
  <w:num w:numId="7" w16cid:durableId="933320673">
    <w:abstractNumId w:val="14"/>
  </w:num>
  <w:num w:numId="8" w16cid:durableId="1639996714">
    <w:abstractNumId w:val="32"/>
  </w:num>
  <w:num w:numId="9" w16cid:durableId="913469679">
    <w:abstractNumId w:val="28"/>
  </w:num>
  <w:num w:numId="10" w16cid:durableId="1545212710">
    <w:abstractNumId w:val="32"/>
  </w:num>
  <w:num w:numId="11" w16cid:durableId="1093014052">
    <w:abstractNumId w:val="0"/>
  </w:num>
  <w:num w:numId="12" w16cid:durableId="1287157629">
    <w:abstractNumId w:val="11"/>
  </w:num>
  <w:num w:numId="13" w16cid:durableId="2027827007">
    <w:abstractNumId w:val="31"/>
  </w:num>
  <w:num w:numId="14" w16cid:durableId="797920952">
    <w:abstractNumId w:val="18"/>
  </w:num>
  <w:num w:numId="15" w16cid:durableId="1583298407">
    <w:abstractNumId w:val="18"/>
  </w:num>
  <w:num w:numId="16" w16cid:durableId="729232797">
    <w:abstractNumId w:val="46"/>
  </w:num>
  <w:num w:numId="17" w16cid:durableId="1809740761">
    <w:abstractNumId w:val="15"/>
  </w:num>
  <w:num w:numId="18" w16cid:durableId="284191857">
    <w:abstractNumId w:val="3"/>
  </w:num>
  <w:num w:numId="19" w16cid:durableId="401487208">
    <w:abstractNumId w:val="10"/>
  </w:num>
  <w:num w:numId="20" w16cid:durableId="1532840962">
    <w:abstractNumId w:val="43"/>
  </w:num>
  <w:num w:numId="21" w16cid:durableId="2037349397">
    <w:abstractNumId w:val="9"/>
  </w:num>
  <w:num w:numId="22" w16cid:durableId="1783374912">
    <w:abstractNumId w:val="25"/>
  </w:num>
  <w:num w:numId="23" w16cid:durableId="32459540">
    <w:abstractNumId w:val="18"/>
  </w:num>
  <w:num w:numId="24" w16cid:durableId="1863586093">
    <w:abstractNumId w:val="36"/>
  </w:num>
  <w:num w:numId="25" w16cid:durableId="699546368">
    <w:abstractNumId w:val="45"/>
  </w:num>
  <w:num w:numId="26" w16cid:durableId="588974989">
    <w:abstractNumId w:val="35"/>
  </w:num>
  <w:num w:numId="27" w16cid:durableId="13311551">
    <w:abstractNumId w:val="18"/>
  </w:num>
  <w:num w:numId="28" w16cid:durableId="1661302733">
    <w:abstractNumId w:val="23"/>
  </w:num>
  <w:num w:numId="29" w16cid:durableId="1731466118">
    <w:abstractNumId w:val="45"/>
  </w:num>
  <w:num w:numId="30" w16cid:durableId="194464772">
    <w:abstractNumId w:val="35"/>
  </w:num>
  <w:num w:numId="31" w16cid:durableId="1350327049">
    <w:abstractNumId w:val="3"/>
  </w:num>
  <w:num w:numId="32" w16cid:durableId="1672641504">
    <w:abstractNumId w:val="0"/>
  </w:num>
  <w:num w:numId="33" w16cid:durableId="920480535">
    <w:abstractNumId w:val="12"/>
  </w:num>
  <w:num w:numId="34" w16cid:durableId="2015300785">
    <w:abstractNumId w:val="12"/>
  </w:num>
  <w:num w:numId="35" w16cid:durableId="1406999593">
    <w:abstractNumId w:val="1"/>
  </w:num>
  <w:num w:numId="36" w16cid:durableId="3657214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719123">
    <w:abstractNumId w:val="1"/>
  </w:num>
  <w:num w:numId="38" w16cid:durableId="2070567023">
    <w:abstractNumId w:val="40"/>
  </w:num>
  <w:num w:numId="39" w16cid:durableId="1070687563">
    <w:abstractNumId w:val="30"/>
  </w:num>
  <w:num w:numId="40" w16cid:durableId="1932200886">
    <w:abstractNumId w:val="8"/>
  </w:num>
  <w:num w:numId="41" w16cid:durableId="1322079628">
    <w:abstractNumId w:val="13"/>
  </w:num>
  <w:num w:numId="42" w16cid:durableId="27992721">
    <w:abstractNumId w:val="24"/>
  </w:num>
  <w:num w:numId="43" w16cid:durableId="1278684635">
    <w:abstractNumId w:val="6"/>
  </w:num>
  <w:num w:numId="44" w16cid:durableId="1678463053">
    <w:abstractNumId w:val="41"/>
  </w:num>
  <w:num w:numId="45" w16cid:durableId="942028216">
    <w:abstractNumId w:val="24"/>
  </w:num>
  <w:num w:numId="46" w16cid:durableId="366217816">
    <w:abstractNumId w:val="29"/>
  </w:num>
  <w:num w:numId="47" w16cid:durableId="1237861331">
    <w:abstractNumId w:val="27"/>
  </w:num>
  <w:num w:numId="48" w16cid:durableId="935748405">
    <w:abstractNumId w:val="38"/>
  </w:num>
  <w:num w:numId="49" w16cid:durableId="9065120">
    <w:abstractNumId w:val="2"/>
  </w:num>
  <w:num w:numId="50" w16cid:durableId="168326724">
    <w:abstractNumId w:val="34"/>
  </w:num>
  <w:num w:numId="51" w16cid:durableId="1273053174">
    <w:abstractNumId w:val="49"/>
  </w:num>
  <w:num w:numId="52" w16cid:durableId="1940487247">
    <w:abstractNumId w:val="20"/>
  </w:num>
  <w:num w:numId="53" w16cid:durableId="1332290943">
    <w:abstractNumId w:val="20"/>
  </w:num>
  <w:num w:numId="54" w16cid:durableId="1697462790">
    <w:abstractNumId w:val="19"/>
  </w:num>
  <w:num w:numId="55" w16cid:durableId="1121612179">
    <w:abstractNumId w:val="39"/>
  </w:num>
  <w:num w:numId="56" w16cid:durableId="2058621582">
    <w:abstractNumId w:val="39"/>
  </w:num>
  <w:num w:numId="57" w16cid:durableId="955067046">
    <w:abstractNumId w:val="24"/>
  </w:num>
  <w:num w:numId="58" w16cid:durableId="1046568411">
    <w:abstractNumId w:val="37"/>
  </w:num>
  <w:num w:numId="59" w16cid:durableId="444932920">
    <w:abstractNumId w:val="33"/>
  </w:num>
  <w:num w:numId="60" w16cid:durableId="1372457229">
    <w:abstractNumId w:val="42"/>
  </w:num>
  <w:num w:numId="61" w16cid:durableId="747507359">
    <w:abstractNumId w:val="4"/>
  </w:num>
  <w:num w:numId="62" w16cid:durableId="2145273716">
    <w:abstractNumId w:val="48"/>
  </w:num>
  <w:num w:numId="63" w16cid:durableId="1300648244">
    <w:abstractNumId w:val="5"/>
  </w:num>
  <w:num w:numId="64" w16cid:durableId="586771240">
    <w:abstractNumId w:val="36"/>
  </w:num>
  <w:num w:numId="65" w16cid:durableId="2098283395">
    <w:abstractNumId w:val="20"/>
  </w:num>
  <w:num w:numId="66" w16cid:durableId="1237087167">
    <w:abstractNumId w:val="24"/>
  </w:num>
  <w:num w:numId="67" w16cid:durableId="712735886">
    <w:abstractNumId w:val="17"/>
  </w:num>
  <w:num w:numId="68" w16cid:durableId="2094013584">
    <w:abstractNumId w:val="17"/>
  </w:num>
  <w:num w:numId="69" w16cid:durableId="22635251">
    <w:abstractNumId w:val="26"/>
  </w:num>
  <w:num w:numId="70" w16cid:durableId="1298222801">
    <w:abstractNumId w:val="16"/>
  </w:num>
  <w:num w:numId="71" w16cid:durableId="334186535">
    <w:abstractNumId w:val="26"/>
  </w:num>
  <w:num w:numId="72" w16cid:durableId="60072550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1E0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14D"/>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4C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CD"/>
    <w:rsid w:val="000628F2"/>
    <w:rsid w:val="00062C13"/>
    <w:rsid w:val="00062DDD"/>
    <w:rsid w:val="0006363E"/>
    <w:rsid w:val="00063F02"/>
    <w:rsid w:val="00064133"/>
    <w:rsid w:val="0006457A"/>
    <w:rsid w:val="000648BA"/>
    <w:rsid w:val="000648FA"/>
    <w:rsid w:val="00065201"/>
    <w:rsid w:val="000654B5"/>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065"/>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0DD"/>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4F2"/>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45D"/>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5A0"/>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B85"/>
    <w:rsid w:val="00126E1B"/>
    <w:rsid w:val="00127107"/>
    <w:rsid w:val="001272D8"/>
    <w:rsid w:val="0012775E"/>
    <w:rsid w:val="00127DBE"/>
    <w:rsid w:val="00130130"/>
    <w:rsid w:val="001301AC"/>
    <w:rsid w:val="00130215"/>
    <w:rsid w:val="0013086E"/>
    <w:rsid w:val="00130BB4"/>
    <w:rsid w:val="00130BC6"/>
    <w:rsid w:val="001311A2"/>
    <w:rsid w:val="00131CB1"/>
    <w:rsid w:val="00131D3F"/>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510"/>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2"/>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069"/>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87AEC"/>
    <w:rsid w:val="00287DC3"/>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3E"/>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08F"/>
    <w:rsid w:val="0031635E"/>
    <w:rsid w:val="00316495"/>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C87"/>
    <w:rsid w:val="00350D6B"/>
    <w:rsid w:val="00350F60"/>
    <w:rsid w:val="0035121F"/>
    <w:rsid w:val="003513F1"/>
    <w:rsid w:val="00351690"/>
    <w:rsid w:val="00351B49"/>
    <w:rsid w:val="00351F47"/>
    <w:rsid w:val="0035228A"/>
    <w:rsid w:val="00352480"/>
    <w:rsid w:val="003524B7"/>
    <w:rsid w:val="003527E8"/>
    <w:rsid w:val="003528A4"/>
    <w:rsid w:val="003529DD"/>
    <w:rsid w:val="00353185"/>
    <w:rsid w:val="003536C8"/>
    <w:rsid w:val="00353932"/>
    <w:rsid w:val="00353DD7"/>
    <w:rsid w:val="00353EC0"/>
    <w:rsid w:val="00353FFF"/>
    <w:rsid w:val="0035406B"/>
    <w:rsid w:val="00354128"/>
    <w:rsid w:val="00354339"/>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50E2"/>
    <w:rsid w:val="00365772"/>
    <w:rsid w:val="00366301"/>
    <w:rsid w:val="00366841"/>
    <w:rsid w:val="00366A8D"/>
    <w:rsid w:val="00366CF3"/>
    <w:rsid w:val="00367031"/>
    <w:rsid w:val="0036708E"/>
    <w:rsid w:val="003671A0"/>
    <w:rsid w:val="00367334"/>
    <w:rsid w:val="003673F4"/>
    <w:rsid w:val="00367915"/>
    <w:rsid w:val="0037024B"/>
    <w:rsid w:val="00370561"/>
    <w:rsid w:val="003706F6"/>
    <w:rsid w:val="0037073A"/>
    <w:rsid w:val="0037117D"/>
    <w:rsid w:val="0037130E"/>
    <w:rsid w:val="0037191E"/>
    <w:rsid w:val="00372819"/>
    <w:rsid w:val="00372D17"/>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0F4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065"/>
    <w:rsid w:val="003D15DF"/>
    <w:rsid w:val="003D1B1E"/>
    <w:rsid w:val="003D2246"/>
    <w:rsid w:val="003D23CD"/>
    <w:rsid w:val="003D26A4"/>
    <w:rsid w:val="003D26B1"/>
    <w:rsid w:val="003D27E8"/>
    <w:rsid w:val="003D2A6D"/>
    <w:rsid w:val="003D2C63"/>
    <w:rsid w:val="003D324F"/>
    <w:rsid w:val="003D325F"/>
    <w:rsid w:val="003D378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38E"/>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056"/>
    <w:rsid w:val="00420D06"/>
    <w:rsid w:val="00420D6D"/>
    <w:rsid w:val="00421263"/>
    <w:rsid w:val="0042140A"/>
    <w:rsid w:val="0042179D"/>
    <w:rsid w:val="00421D5C"/>
    <w:rsid w:val="00422427"/>
    <w:rsid w:val="00423176"/>
    <w:rsid w:val="004232A1"/>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1EB"/>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076"/>
    <w:rsid w:val="005061F6"/>
    <w:rsid w:val="00506384"/>
    <w:rsid w:val="00506714"/>
    <w:rsid w:val="005071CC"/>
    <w:rsid w:val="0050770E"/>
    <w:rsid w:val="00510778"/>
    <w:rsid w:val="00510950"/>
    <w:rsid w:val="00510CD2"/>
    <w:rsid w:val="00511185"/>
    <w:rsid w:val="00511220"/>
    <w:rsid w:val="00511DD1"/>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41"/>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3A8E"/>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5E58"/>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227"/>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ADC"/>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4B9"/>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1F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439"/>
    <w:rsid w:val="005F5655"/>
    <w:rsid w:val="005F56FC"/>
    <w:rsid w:val="005F589C"/>
    <w:rsid w:val="005F59B6"/>
    <w:rsid w:val="005F5A92"/>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2E85"/>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C51"/>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6A9"/>
    <w:rsid w:val="0062185C"/>
    <w:rsid w:val="00621B05"/>
    <w:rsid w:val="00621C3A"/>
    <w:rsid w:val="00621F9B"/>
    <w:rsid w:val="00622909"/>
    <w:rsid w:val="00622ACC"/>
    <w:rsid w:val="0062357C"/>
    <w:rsid w:val="00623C6C"/>
    <w:rsid w:val="00623FD3"/>
    <w:rsid w:val="00624164"/>
    <w:rsid w:val="0062446A"/>
    <w:rsid w:val="00624744"/>
    <w:rsid w:val="006248D3"/>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6F7F29"/>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896"/>
    <w:rsid w:val="00737C9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045"/>
    <w:rsid w:val="0074563A"/>
    <w:rsid w:val="00745ACC"/>
    <w:rsid w:val="00745E7A"/>
    <w:rsid w:val="00746685"/>
    <w:rsid w:val="0074693B"/>
    <w:rsid w:val="00746AD4"/>
    <w:rsid w:val="00746C07"/>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EC2"/>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2FCC"/>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11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0CB1"/>
    <w:rsid w:val="008111C6"/>
    <w:rsid w:val="00811366"/>
    <w:rsid w:val="00811E6A"/>
    <w:rsid w:val="00812A9F"/>
    <w:rsid w:val="00812CBD"/>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27FBE"/>
    <w:rsid w:val="00830D72"/>
    <w:rsid w:val="00831044"/>
    <w:rsid w:val="008310D1"/>
    <w:rsid w:val="0083123C"/>
    <w:rsid w:val="00831896"/>
    <w:rsid w:val="00831CF8"/>
    <w:rsid w:val="0083271F"/>
    <w:rsid w:val="00832B49"/>
    <w:rsid w:val="00832C4D"/>
    <w:rsid w:val="00832D9C"/>
    <w:rsid w:val="00832F8B"/>
    <w:rsid w:val="008330C7"/>
    <w:rsid w:val="00833284"/>
    <w:rsid w:val="0083332F"/>
    <w:rsid w:val="0083410E"/>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1A1"/>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42C"/>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835"/>
    <w:rsid w:val="008E7C2C"/>
    <w:rsid w:val="008E7F18"/>
    <w:rsid w:val="008F01FE"/>
    <w:rsid w:val="008F04B2"/>
    <w:rsid w:val="008F057D"/>
    <w:rsid w:val="008F08B9"/>
    <w:rsid w:val="008F0A39"/>
    <w:rsid w:val="008F0CEF"/>
    <w:rsid w:val="008F1077"/>
    <w:rsid w:val="008F1884"/>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4D2"/>
    <w:rsid w:val="00936514"/>
    <w:rsid w:val="00936ACB"/>
    <w:rsid w:val="00936B41"/>
    <w:rsid w:val="00936D89"/>
    <w:rsid w:val="009370DE"/>
    <w:rsid w:val="009376BA"/>
    <w:rsid w:val="00940241"/>
    <w:rsid w:val="009404F2"/>
    <w:rsid w:val="00940712"/>
    <w:rsid w:val="009417D4"/>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0B4C"/>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2E70"/>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285"/>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2864"/>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EB8"/>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B774D"/>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040"/>
    <w:rsid w:val="00B3161A"/>
    <w:rsid w:val="00B31B6A"/>
    <w:rsid w:val="00B327B9"/>
    <w:rsid w:val="00B32E92"/>
    <w:rsid w:val="00B33294"/>
    <w:rsid w:val="00B332F5"/>
    <w:rsid w:val="00B3355F"/>
    <w:rsid w:val="00B337AA"/>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5C3"/>
    <w:rsid w:val="00B82DD0"/>
    <w:rsid w:val="00B8326B"/>
    <w:rsid w:val="00B841B8"/>
    <w:rsid w:val="00B846B6"/>
    <w:rsid w:val="00B84B38"/>
    <w:rsid w:val="00B85056"/>
    <w:rsid w:val="00B85178"/>
    <w:rsid w:val="00B851D5"/>
    <w:rsid w:val="00B85244"/>
    <w:rsid w:val="00B8595E"/>
    <w:rsid w:val="00B865B4"/>
    <w:rsid w:val="00B86695"/>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1E1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801"/>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282"/>
    <w:rsid w:val="00BC28AD"/>
    <w:rsid w:val="00BC2FAA"/>
    <w:rsid w:val="00BC31BA"/>
    <w:rsid w:val="00BC39AC"/>
    <w:rsid w:val="00BC40B1"/>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65"/>
    <w:rsid w:val="00C2257F"/>
    <w:rsid w:val="00C2284E"/>
    <w:rsid w:val="00C23206"/>
    <w:rsid w:val="00C232C1"/>
    <w:rsid w:val="00C23583"/>
    <w:rsid w:val="00C23F28"/>
    <w:rsid w:val="00C24081"/>
    <w:rsid w:val="00C241D3"/>
    <w:rsid w:val="00C2423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85B"/>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572"/>
    <w:rsid w:val="00C6461E"/>
    <w:rsid w:val="00C64865"/>
    <w:rsid w:val="00C66035"/>
    <w:rsid w:val="00C66109"/>
    <w:rsid w:val="00C66760"/>
    <w:rsid w:val="00C667A2"/>
    <w:rsid w:val="00C67178"/>
    <w:rsid w:val="00C67A81"/>
    <w:rsid w:val="00C67AC0"/>
    <w:rsid w:val="00C7018B"/>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979"/>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6EFD"/>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5F74"/>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5FB"/>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760"/>
    <w:rsid w:val="00DA7B38"/>
    <w:rsid w:val="00DB0709"/>
    <w:rsid w:val="00DB07DC"/>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28FF"/>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356"/>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6F44"/>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B2D"/>
    <w:rsid w:val="00E652CB"/>
    <w:rsid w:val="00E655AE"/>
    <w:rsid w:val="00E655FA"/>
    <w:rsid w:val="00E65DE4"/>
    <w:rsid w:val="00E66AB0"/>
    <w:rsid w:val="00E677AA"/>
    <w:rsid w:val="00E67AD6"/>
    <w:rsid w:val="00E67C8A"/>
    <w:rsid w:val="00E67D3C"/>
    <w:rsid w:val="00E70BE5"/>
    <w:rsid w:val="00E70E66"/>
    <w:rsid w:val="00E712B6"/>
    <w:rsid w:val="00E71D93"/>
    <w:rsid w:val="00E72683"/>
    <w:rsid w:val="00E729CA"/>
    <w:rsid w:val="00E73817"/>
    <w:rsid w:val="00E74298"/>
    <w:rsid w:val="00E7446B"/>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621"/>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5C0"/>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D13"/>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0DB3"/>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A99"/>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09F"/>
    <w:rsid w:val="00F2311E"/>
    <w:rsid w:val="00F23373"/>
    <w:rsid w:val="00F239D9"/>
    <w:rsid w:val="00F23B6F"/>
    <w:rsid w:val="00F24CB1"/>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53A"/>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9FB"/>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1B5"/>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1BE6"/>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6B1"/>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D26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26B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styleId="Strong">
    <w:name w:val="Strong"/>
    <w:basedOn w:val="DefaultParagraphFont"/>
    <w:uiPriority w:val="22"/>
    <w:qFormat/>
    <w:rsid w:val="008E7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715">
      <w:bodyDiv w:val="1"/>
      <w:marLeft w:val="0"/>
      <w:marRight w:val="0"/>
      <w:marTop w:val="0"/>
      <w:marBottom w:val="0"/>
      <w:divBdr>
        <w:top w:val="none" w:sz="0" w:space="0" w:color="auto"/>
        <w:left w:val="none" w:sz="0" w:space="0" w:color="auto"/>
        <w:bottom w:val="none" w:sz="0" w:space="0" w:color="auto"/>
        <w:right w:val="none" w:sz="0" w:space="0" w:color="auto"/>
      </w:divBdr>
    </w:div>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025949">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9231290">
      <w:bodyDiv w:val="1"/>
      <w:marLeft w:val="0"/>
      <w:marRight w:val="0"/>
      <w:marTop w:val="0"/>
      <w:marBottom w:val="0"/>
      <w:divBdr>
        <w:top w:val="none" w:sz="0" w:space="0" w:color="auto"/>
        <w:left w:val="none" w:sz="0" w:space="0" w:color="auto"/>
        <w:bottom w:val="none" w:sz="0" w:space="0" w:color="auto"/>
        <w:right w:val="none" w:sz="0" w:space="0" w:color="auto"/>
      </w:divBdr>
    </w:div>
    <w:div w:id="3115473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248334">
      <w:bodyDiv w:val="1"/>
      <w:marLeft w:val="0"/>
      <w:marRight w:val="0"/>
      <w:marTop w:val="0"/>
      <w:marBottom w:val="0"/>
      <w:divBdr>
        <w:top w:val="none" w:sz="0" w:space="0" w:color="auto"/>
        <w:left w:val="none" w:sz="0" w:space="0" w:color="auto"/>
        <w:bottom w:val="none" w:sz="0" w:space="0" w:color="auto"/>
        <w:right w:val="none" w:sz="0" w:space="0" w:color="auto"/>
      </w:divBdr>
    </w:div>
    <w:div w:id="44256085">
      <w:bodyDiv w:val="1"/>
      <w:marLeft w:val="0"/>
      <w:marRight w:val="0"/>
      <w:marTop w:val="0"/>
      <w:marBottom w:val="0"/>
      <w:divBdr>
        <w:top w:val="none" w:sz="0" w:space="0" w:color="auto"/>
        <w:left w:val="none" w:sz="0" w:space="0" w:color="auto"/>
        <w:bottom w:val="none" w:sz="0" w:space="0" w:color="auto"/>
        <w:right w:val="none" w:sz="0" w:space="0" w:color="auto"/>
      </w:divBdr>
    </w:div>
    <w:div w:id="45304457">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8355498">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6456843">
      <w:bodyDiv w:val="1"/>
      <w:marLeft w:val="0"/>
      <w:marRight w:val="0"/>
      <w:marTop w:val="0"/>
      <w:marBottom w:val="0"/>
      <w:divBdr>
        <w:top w:val="none" w:sz="0" w:space="0" w:color="auto"/>
        <w:left w:val="none" w:sz="0" w:space="0" w:color="auto"/>
        <w:bottom w:val="none" w:sz="0" w:space="0" w:color="auto"/>
        <w:right w:val="none" w:sz="0" w:space="0" w:color="auto"/>
      </w:divBdr>
    </w:div>
    <w:div w:id="139470602">
      <w:bodyDiv w:val="1"/>
      <w:marLeft w:val="0"/>
      <w:marRight w:val="0"/>
      <w:marTop w:val="0"/>
      <w:marBottom w:val="0"/>
      <w:divBdr>
        <w:top w:val="none" w:sz="0" w:space="0" w:color="auto"/>
        <w:left w:val="none" w:sz="0" w:space="0" w:color="auto"/>
        <w:bottom w:val="none" w:sz="0" w:space="0" w:color="auto"/>
        <w:right w:val="none" w:sz="0" w:space="0" w:color="auto"/>
      </w:divBdr>
    </w:div>
    <w:div w:id="143350503">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5320584">
      <w:bodyDiv w:val="1"/>
      <w:marLeft w:val="0"/>
      <w:marRight w:val="0"/>
      <w:marTop w:val="0"/>
      <w:marBottom w:val="0"/>
      <w:divBdr>
        <w:top w:val="none" w:sz="0" w:space="0" w:color="auto"/>
        <w:left w:val="none" w:sz="0" w:space="0" w:color="auto"/>
        <w:bottom w:val="none" w:sz="0" w:space="0" w:color="auto"/>
        <w:right w:val="none" w:sz="0" w:space="0" w:color="auto"/>
      </w:divBdr>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2911076">
      <w:bodyDiv w:val="1"/>
      <w:marLeft w:val="0"/>
      <w:marRight w:val="0"/>
      <w:marTop w:val="0"/>
      <w:marBottom w:val="0"/>
      <w:divBdr>
        <w:top w:val="none" w:sz="0" w:space="0" w:color="auto"/>
        <w:left w:val="none" w:sz="0" w:space="0" w:color="auto"/>
        <w:bottom w:val="none" w:sz="0" w:space="0" w:color="auto"/>
        <w:right w:val="none" w:sz="0" w:space="0" w:color="auto"/>
      </w:divBdr>
    </w:div>
    <w:div w:id="157238404">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0071652">
      <w:bodyDiv w:val="1"/>
      <w:marLeft w:val="0"/>
      <w:marRight w:val="0"/>
      <w:marTop w:val="0"/>
      <w:marBottom w:val="0"/>
      <w:divBdr>
        <w:top w:val="none" w:sz="0" w:space="0" w:color="auto"/>
        <w:left w:val="none" w:sz="0" w:space="0" w:color="auto"/>
        <w:bottom w:val="none" w:sz="0" w:space="0" w:color="auto"/>
        <w:right w:val="none" w:sz="0" w:space="0" w:color="auto"/>
      </w:divBdr>
    </w:div>
    <w:div w:id="191845560">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857484">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593818">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5941802">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38560810">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8924214">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5405208">
      <w:bodyDiv w:val="1"/>
      <w:marLeft w:val="0"/>
      <w:marRight w:val="0"/>
      <w:marTop w:val="0"/>
      <w:marBottom w:val="0"/>
      <w:divBdr>
        <w:top w:val="none" w:sz="0" w:space="0" w:color="auto"/>
        <w:left w:val="none" w:sz="0" w:space="0" w:color="auto"/>
        <w:bottom w:val="none" w:sz="0" w:space="0" w:color="auto"/>
        <w:right w:val="none" w:sz="0" w:space="0" w:color="auto"/>
      </w:divBdr>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67086347">
      <w:bodyDiv w:val="1"/>
      <w:marLeft w:val="0"/>
      <w:marRight w:val="0"/>
      <w:marTop w:val="0"/>
      <w:marBottom w:val="0"/>
      <w:divBdr>
        <w:top w:val="none" w:sz="0" w:space="0" w:color="auto"/>
        <w:left w:val="none" w:sz="0" w:space="0" w:color="auto"/>
        <w:bottom w:val="none" w:sz="0" w:space="0" w:color="auto"/>
        <w:right w:val="none" w:sz="0" w:space="0" w:color="auto"/>
      </w:divBdr>
    </w:div>
    <w:div w:id="276060971">
      <w:bodyDiv w:val="1"/>
      <w:marLeft w:val="0"/>
      <w:marRight w:val="0"/>
      <w:marTop w:val="0"/>
      <w:marBottom w:val="0"/>
      <w:divBdr>
        <w:top w:val="none" w:sz="0" w:space="0" w:color="auto"/>
        <w:left w:val="none" w:sz="0" w:space="0" w:color="auto"/>
        <w:bottom w:val="none" w:sz="0" w:space="0" w:color="auto"/>
        <w:right w:val="none" w:sz="0" w:space="0" w:color="auto"/>
      </w:divBdr>
    </w:div>
    <w:div w:id="278688480">
      <w:bodyDiv w:val="1"/>
      <w:marLeft w:val="0"/>
      <w:marRight w:val="0"/>
      <w:marTop w:val="0"/>
      <w:marBottom w:val="0"/>
      <w:divBdr>
        <w:top w:val="none" w:sz="0" w:space="0" w:color="auto"/>
        <w:left w:val="none" w:sz="0" w:space="0" w:color="auto"/>
        <w:bottom w:val="none" w:sz="0" w:space="0" w:color="auto"/>
        <w:right w:val="none" w:sz="0" w:space="0" w:color="auto"/>
      </w:divBdr>
    </w:div>
    <w:div w:id="289483774">
      <w:bodyDiv w:val="1"/>
      <w:marLeft w:val="0"/>
      <w:marRight w:val="0"/>
      <w:marTop w:val="0"/>
      <w:marBottom w:val="0"/>
      <w:divBdr>
        <w:top w:val="none" w:sz="0" w:space="0" w:color="auto"/>
        <w:left w:val="none" w:sz="0" w:space="0" w:color="auto"/>
        <w:bottom w:val="none" w:sz="0" w:space="0" w:color="auto"/>
        <w:right w:val="none" w:sz="0" w:space="0" w:color="auto"/>
      </w:divBdr>
    </w:div>
    <w:div w:id="296028278">
      <w:bodyDiv w:val="1"/>
      <w:marLeft w:val="0"/>
      <w:marRight w:val="0"/>
      <w:marTop w:val="0"/>
      <w:marBottom w:val="0"/>
      <w:divBdr>
        <w:top w:val="none" w:sz="0" w:space="0" w:color="auto"/>
        <w:left w:val="none" w:sz="0" w:space="0" w:color="auto"/>
        <w:bottom w:val="none" w:sz="0" w:space="0" w:color="auto"/>
        <w:right w:val="none" w:sz="0" w:space="0" w:color="auto"/>
      </w:divBdr>
    </w:div>
    <w:div w:id="296955408">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491650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869972">
      <w:bodyDiv w:val="1"/>
      <w:marLeft w:val="0"/>
      <w:marRight w:val="0"/>
      <w:marTop w:val="0"/>
      <w:marBottom w:val="0"/>
      <w:divBdr>
        <w:top w:val="none" w:sz="0" w:space="0" w:color="auto"/>
        <w:left w:val="none" w:sz="0" w:space="0" w:color="auto"/>
        <w:bottom w:val="none" w:sz="0" w:space="0" w:color="auto"/>
        <w:right w:val="none" w:sz="0" w:space="0" w:color="auto"/>
      </w:divBdr>
    </w:div>
    <w:div w:id="351151120">
      <w:bodyDiv w:val="1"/>
      <w:marLeft w:val="0"/>
      <w:marRight w:val="0"/>
      <w:marTop w:val="0"/>
      <w:marBottom w:val="0"/>
      <w:divBdr>
        <w:top w:val="none" w:sz="0" w:space="0" w:color="auto"/>
        <w:left w:val="none" w:sz="0" w:space="0" w:color="auto"/>
        <w:bottom w:val="none" w:sz="0" w:space="0" w:color="auto"/>
        <w:right w:val="none" w:sz="0" w:space="0" w:color="auto"/>
      </w:divBdr>
    </w:div>
    <w:div w:id="3562798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4718988">
      <w:bodyDiv w:val="1"/>
      <w:marLeft w:val="0"/>
      <w:marRight w:val="0"/>
      <w:marTop w:val="0"/>
      <w:marBottom w:val="0"/>
      <w:divBdr>
        <w:top w:val="none" w:sz="0" w:space="0" w:color="auto"/>
        <w:left w:val="none" w:sz="0" w:space="0" w:color="auto"/>
        <w:bottom w:val="none" w:sz="0" w:space="0" w:color="auto"/>
        <w:right w:val="none" w:sz="0" w:space="0" w:color="auto"/>
      </w:divBdr>
    </w:div>
    <w:div w:id="365838040">
      <w:bodyDiv w:val="1"/>
      <w:marLeft w:val="0"/>
      <w:marRight w:val="0"/>
      <w:marTop w:val="0"/>
      <w:marBottom w:val="0"/>
      <w:divBdr>
        <w:top w:val="none" w:sz="0" w:space="0" w:color="auto"/>
        <w:left w:val="none" w:sz="0" w:space="0" w:color="auto"/>
        <w:bottom w:val="none" w:sz="0" w:space="0" w:color="auto"/>
        <w:right w:val="none" w:sz="0" w:space="0" w:color="auto"/>
      </w:divBdr>
    </w:div>
    <w:div w:id="377435779">
      <w:bodyDiv w:val="1"/>
      <w:marLeft w:val="0"/>
      <w:marRight w:val="0"/>
      <w:marTop w:val="0"/>
      <w:marBottom w:val="0"/>
      <w:divBdr>
        <w:top w:val="none" w:sz="0" w:space="0" w:color="auto"/>
        <w:left w:val="none" w:sz="0" w:space="0" w:color="auto"/>
        <w:bottom w:val="none" w:sz="0" w:space="0" w:color="auto"/>
        <w:right w:val="none" w:sz="0" w:space="0" w:color="auto"/>
      </w:divBdr>
    </w:div>
    <w:div w:id="382993212">
      <w:bodyDiv w:val="1"/>
      <w:marLeft w:val="0"/>
      <w:marRight w:val="0"/>
      <w:marTop w:val="0"/>
      <w:marBottom w:val="0"/>
      <w:divBdr>
        <w:top w:val="none" w:sz="0" w:space="0" w:color="auto"/>
        <w:left w:val="none" w:sz="0" w:space="0" w:color="auto"/>
        <w:bottom w:val="none" w:sz="0" w:space="0" w:color="auto"/>
        <w:right w:val="none" w:sz="0" w:space="0" w:color="auto"/>
      </w:divBdr>
    </w:div>
    <w:div w:id="383021434">
      <w:bodyDiv w:val="1"/>
      <w:marLeft w:val="0"/>
      <w:marRight w:val="0"/>
      <w:marTop w:val="0"/>
      <w:marBottom w:val="0"/>
      <w:divBdr>
        <w:top w:val="none" w:sz="0" w:space="0" w:color="auto"/>
        <w:left w:val="none" w:sz="0" w:space="0" w:color="auto"/>
        <w:bottom w:val="none" w:sz="0" w:space="0" w:color="auto"/>
        <w:right w:val="none" w:sz="0" w:space="0" w:color="auto"/>
      </w:divBdr>
    </w:div>
    <w:div w:id="384261397">
      <w:bodyDiv w:val="1"/>
      <w:marLeft w:val="0"/>
      <w:marRight w:val="0"/>
      <w:marTop w:val="0"/>
      <w:marBottom w:val="0"/>
      <w:divBdr>
        <w:top w:val="none" w:sz="0" w:space="0" w:color="auto"/>
        <w:left w:val="none" w:sz="0" w:space="0" w:color="auto"/>
        <w:bottom w:val="none" w:sz="0" w:space="0" w:color="auto"/>
        <w:right w:val="none" w:sz="0" w:space="0" w:color="auto"/>
      </w:divBdr>
    </w:div>
    <w:div w:id="388530086">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170234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58455427">
      <w:bodyDiv w:val="1"/>
      <w:marLeft w:val="0"/>
      <w:marRight w:val="0"/>
      <w:marTop w:val="0"/>
      <w:marBottom w:val="0"/>
      <w:divBdr>
        <w:top w:val="none" w:sz="0" w:space="0" w:color="auto"/>
        <w:left w:val="none" w:sz="0" w:space="0" w:color="auto"/>
        <w:bottom w:val="none" w:sz="0" w:space="0" w:color="auto"/>
        <w:right w:val="none" w:sz="0" w:space="0" w:color="auto"/>
      </w:divBdr>
      <w:divsChild>
        <w:div w:id="286359138">
          <w:marLeft w:val="0"/>
          <w:marRight w:val="0"/>
          <w:marTop w:val="0"/>
          <w:marBottom w:val="0"/>
          <w:divBdr>
            <w:top w:val="none" w:sz="0" w:space="0" w:color="auto"/>
            <w:left w:val="none" w:sz="0" w:space="0" w:color="auto"/>
            <w:bottom w:val="none" w:sz="0" w:space="0" w:color="auto"/>
            <w:right w:val="none" w:sz="0" w:space="0" w:color="auto"/>
          </w:divBdr>
        </w:div>
      </w:divsChild>
    </w:div>
    <w:div w:id="466625572">
      <w:bodyDiv w:val="1"/>
      <w:marLeft w:val="0"/>
      <w:marRight w:val="0"/>
      <w:marTop w:val="0"/>
      <w:marBottom w:val="0"/>
      <w:divBdr>
        <w:top w:val="none" w:sz="0" w:space="0" w:color="auto"/>
        <w:left w:val="none" w:sz="0" w:space="0" w:color="auto"/>
        <w:bottom w:val="none" w:sz="0" w:space="0" w:color="auto"/>
        <w:right w:val="none" w:sz="0" w:space="0" w:color="auto"/>
      </w:divBdr>
    </w:div>
    <w:div w:id="467280492">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4377648">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77234567">
      <w:bodyDiv w:val="1"/>
      <w:marLeft w:val="0"/>
      <w:marRight w:val="0"/>
      <w:marTop w:val="0"/>
      <w:marBottom w:val="0"/>
      <w:divBdr>
        <w:top w:val="none" w:sz="0" w:space="0" w:color="auto"/>
        <w:left w:val="none" w:sz="0" w:space="0" w:color="auto"/>
        <w:bottom w:val="none" w:sz="0" w:space="0" w:color="auto"/>
        <w:right w:val="none" w:sz="0" w:space="0" w:color="auto"/>
      </w:divBdr>
    </w:div>
    <w:div w:id="483548006">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87013407">
      <w:bodyDiv w:val="1"/>
      <w:marLeft w:val="0"/>
      <w:marRight w:val="0"/>
      <w:marTop w:val="0"/>
      <w:marBottom w:val="0"/>
      <w:divBdr>
        <w:top w:val="none" w:sz="0" w:space="0" w:color="auto"/>
        <w:left w:val="none" w:sz="0" w:space="0" w:color="auto"/>
        <w:bottom w:val="none" w:sz="0" w:space="0" w:color="auto"/>
        <w:right w:val="none" w:sz="0" w:space="0" w:color="auto"/>
      </w:divBdr>
    </w:div>
    <w:div w:id="487332572">
      <w:bodyDiv w:val="1"/>
      <w:marLeft w:val="0"/>
      <w:marRight w:val="0"/>
      <w:marTop w:val="0"/>
      <w:marBottom w:val="0"/>
      <w:divBdr>
        <w:top w:val="none" w:sz="0" w:space="0" w:color="auto"/>
        <w:left w:val="none" w:sz="0" w:space="0" w:color="auto"/>
        <w:bottom w:val="none" w:sz="0" w:space="0" w:color="auto"/>
        <w:right w:val="none" w:sz="0" w:space="0" w:color="auto"/>
      </w:divBdr>
    </w:div>
    <w:div w:id="491066289">
      <w:bodyDiv w:val="1"/>
      <w:marLeft w:val="0"/>
      <w:marRight w:val="0"/>
      <w:marTop w:val="0"/>
      <w:marBottom w:val="0"/>
      <w:divBdr>
        <w:top w:val="none" w:sz="0" w:space="0" w:color="auto"/>
        <w:left w:val="none" w:sz="0" w:space="0" w:color="auto"/>
        <w:bottom w:val="none" w:sz="0" w:space="0" w:color="auto"/>
        <w:right w:val="none" w:sz="0" w:space="0" w:color="auto"/>
      </w:divBdr>
    </w:div>
    <w:div w:id="493376683">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319959">
      <w:bodyDiv w:val="1"/>
      <w:marLeft w:val="0"/>
      <w:marRight w:val="0"/>
      <w:marTop w:val="0"/>
      <w:marBottom w:val="0"/>
      <w:divBdr>
        <w:top w:val="none" w:sz="0" w:space="0" w:color="auto"/>
        <w:left w:val="none" w:sz="0" w:space="0" w:color="auto"/>
        <w:bottom w:val="none" w:sz="0" w:space="0" w:color="auto"/>
        <w:right w:val="none" w:sz="0" w:space="0" w:color="auto"/>
      </w:divBdr>
    </w:div>
    <w:div w:id="504979444">
      <w:bodyDiv w:val="1"/>
      <w:marLeft w:val="0"/>
      <w:marRight w:val="0"/>
      <w:marTop w:val="0"/>
      <w:marBottom w:val="0"/>
      <w:divBdr>
        <w:top w:val="none" w:sz="0" w:space="0" w:color="auto"/>
        <w:left w:val="none" w:sz="0" w:space="0" w:color="auto"/>
        <w:bottom w:val="none" w:sz="0" w:space="0" w:color="auto"/>
        <w:right w:val="none" w:sz="0" w:space="0" w:color="auto"/>
      </w:divBdr>
    </w:div>
    <w:div w:id="505049814">
      <w:bodyDiv w:val="1"/>
      <w:marLeft w:val="0"/>
      <w:marRight w:val="0"/>
      <w:marTop w:val="0"/>
      <w:marBottom w:val="0"/>
      <w:divBdr>
        <w:top w:val="none" w:sz="0" w:space="0" w:color="auto"/>
        <w:left w:val="none" w:sz="0" w:space="0" w:color="auto"/>
        <w:bottom w:val="none" w:sz="0" w:space="0" w:color="auto"/>
        <w:right w:val="none" w:sz="0" w:space="0" w:color="auto"/>
      </w:divBdr>
    </w:div>
    <w:div w:id="511723832">
      <w:bodyDiv w:val="1"/>
      <w:marLeft w:val="0"/>
      <w:marRight w:val="0"/>
      <w:marTop w:val="0"/>
      <w:marBottom w:val="0"/>
      <w:divBdr>
        <w:top w:val="none" w:sz="0" w:space="0" w:color="auto"/>
        <w:left w:val="none" w:sz="0" w:space="0" w:color="auto"/>
        <w:bottom w:val="none" w:sz="0" w:space="0" w:color="auto"/>
        <w:right w:val="none" w:sz="0" w:space="0" w:color="auto"/>
      </w:divBdr>
    </w:div>
    <w:div w:id="526063963">
      <w:bodyDiv w:val="1"/>
      <w:marLeft w:val="0"/>
      <w:marRight w:val="0"/>
      <w:marTop w:val="0"/>
      <w:marBottom w:val="0"/>
      <w:divBdr>
        <w:top w:val="none" w:sz="0" w:space="0" w:color="auto"/>
        <w:left w:val="none" w:sz="0" w:space="0" w:color="auto"/>
        <w:bottom w:val="none" w:sz="0" w:space="0" w:color="auto"/>
        <w:right w:val="none" w:sz="0" w:space="0" w:color="auto"/>
      </w:divBdr>
    </w:div>
    <w:div w:id="534972607">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629166">
      <w:bodyDiv w:val="1"/>
      <w:marLeft w:val="0"/>
      <w:marRight w:val="0"/>
      <w:marTop w:val="0"/>
      <w:marBottom w:val="0"/>
      <w:divBdr>
        <w:top w:val="none" w:sz="0" w:space="0" w:color="auto"/>
        <w:left w:val="none" w:sz="0" w:space="0" w:color="auto"/>
        <w:bottom w:val="none" w:sz="0" w:space="0" w:color="auto"/>
        <w:right w:val="none" w:sz="0" w:space="0" w:color="auto"/>
      </w:divBdr>
    </w:div>
    <w:div w:id="555893586">
      <w:bodyDiv w:val="1"/>
      <w:marLeft w:val="0"/>
      <w:marRight w:val="0"/>
      <w:marTop w:val="0"/>
      <w:marBottom w:val="0"/>
      <w:divBdr>
        <w:top w:val="none" w:sz="0" w:space="0" w:color="auto"/>
        <w:left w:val="none" w:sz="0" w:space="0" w:color="auto"/>
        <w:bottom w:val="none" w:sz="0" w:space="0" w:color="auto"/>
        <w:right w:val="none" w:sz="0" w:space="0" w:color="auto"/>
      </w:divBdr>
    </w:div>
    <w:div w:id="566961097">
      <w:bodyDiv w:val="1"/>
      <w:marLeft w:val="0"/>
      <w:marRight w:val="0"/>
      <w:marTop w:val="0"/>
      <w:marBottom w:val="0"/>
      <w:divBdr>
        <w:top w:val="none" w:sz="0" w:space="0" w:color="auto"/>
        <w:left w:val="none" w:sz="0" w:space="0" w:color="auto"/>
        <w:bottom w:val="none" w:sz="0" w:space="0" w:color="auto"/>
        <w:right w:val="none" w:sz="0" w:space="0" w:color="auto"/>
      </w:divBdr>
    </w:div>
    <w:div w:id="569268412">
      <w:bodyDiv w:val="1"/>
      <w:marLeft w:val="0"/>
      <w:marRight w:val="0"/>
      <w:marTop w:val="0"/>
      <w:marBottom w:val="0"/>
      <w:divBdr>
        <w:top w:val="none" w:sz="0" w:space="0" w:color="auto"/>
        <w:left w:val="none" w:sz="0" w:space="0" w:color="auto"/>
        <w:bottom w:val="none" w:sz="0" w:space="0" w:color="auto"/>
        <w:right w:val="none" w:sz="0" w:space="0" w:color="auto"/>
      </w:divBdr>
    </w:div>
    <w:div w:id="577711745">
      <w:bodyDiv w:val="1"/>
      <w:marLeft w:val="0"/>
      <w:marRight w:val="0"/>
      <w:marTop w:val="0"/>
      <w:marBottom w:val="0"/>
      <w:divBdr>
        <w:top w:val="none" w:sz="0" w:space="0" w:color="auto"/>
        <w:left w:val="none" w:sz="0" w:space="0" w:color="auto"/>
        <w:bottom w:val="none" w:sz="0" w:space="0" w:color="auto"/>
        <w:right w:val="none" w:sz="0" w:space="0" w:color="auto"/>
      </w:divBdr>
    </w:div>
    <w:div w:id="578252442">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310308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1666823">
      <w:bodyDiv w:val="1"/>
      <w:marLeft w:val="0"/>
      <w:marRight w:val="0"/>
      <w:marTop w:val="0"/>
      <w:marBottom w:val="0"/>
      <w:divBdr>
        <w:top w:val="none" w:sz="0" w:space="0" w:color="auto"/>
        <w:left w:val="none" w:sz="0" w:space="0" w:color="auto"/>
        <w:bottom w:val="none" w:sz="0" w:space="0" w:color="auto"/>
        <w:right w:val="none" w:sz="0" w:space="0" w:color="auto"/>
      </w:divBdr>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8758129">
      <w:bodyDiv w:val="1"/>
      <w:marLeft w:val="0"/>
      <w:marRight w:val="0"/>
      <w:marTop w:val="0"/>
      <w:marBottom w:val="0"/>
      <w:divBdr>
        <w:top w:val="none" w:sz="0" w:space="0" w:color="auto"/>
        <w:left w:val="none" w:sz="0" w:space="0" w:color="auto"/>
        <w:bottom w:val="none" w:sz="0" w:space="0" w:color="auto"/>
        <w:right w:val="none" w:sz="0" w:space="0" w:color="auto"/>
      </w:divBdr>
    </w:div>
    <w:div w:id="606693514">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23392536">
      <w:bodyDiv w:val="1"/>
      <w:marLeft w:val="0"/>
      <w:marRight w:val="0"/>
      <w:marTop w:val="0"/>
      <w:marBottom w:val="0"/>
      <w:divBdr>
        <w:top w:val="none" w:sz="0" w:space="0" w:color="auto"/>
        <w:left w:val="none" w:sz="0" w:space="0" w:color="auto"/>
        <w:bottom w:val="none" w:sz="0" w:space="0" w:color="auto"/>
        <w:right w:val="none" w:sz="0" w:space="0" w:color="auto"/>
      </w:divBdr>
    </w:div>
    <w:div w:id="629360768">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36954638">
      <w:bodyDiv w:val="1"/>
      <w:marLeft w:val="0"/>
      <w:marRight w:val="0"/>
      <w:marTop w:val="0"/>
      <w:marBottom w:val="0"/>
      <w:divBdr>
        <w:top w:val="none" w:sz="0" w:space="0" w:color="auto"/>
        <w:left w:val="none" w:sz="0" w:space="0" w:color="auto"/>
        <w:bottom w:val="none" w:sz="0" w:space="0" w:color="auto"/>
        <w:right w:val="none" w:sz="0" w:space="0" w:color="auto"/>
      </w:divBdr>
    </w:div>
    <w:div w:id="64031153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4772678">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5639244">
      <w:bodyDiv w:val="1"/>
      <w:marLeft w:val="0"/>
      <w:marRight w:val="0"/>
      <w:marTop w:val="0"/>
      <w:marBottom w:val="0"/>
      <w:divBdr>
        <w:top w:val="none" w:sz="0" w:space="0" w:color="auto"/>
        <w:left w:val="none" w:sz="0" w:space="0" w:color="auto"/>
        <w:bottom w:val="none" w:sz="0" w:space="0" w:color="auto"/>
        <w:right w:val="none" w:sz="0" w:space="0" w:color="auto"/>
      </w:divBdr>
    </w:div>
    <w:div w:id="689062521">
      <w:bodyDiv w:val="1"/>
      <w:marLeft w:val="0"/>
      <w:marRight w:val="0"/>
      <w:marTop w:val="0"/>
      <w:marBottom w:val="0"/>
      <w:divBdr>
        <w:top w:val="none" w:sz="0" w:space="0" w:color="auto"/>
        <w:left w:val="none" w:sz="0" w:space="0" w:color="auto"/>
        <w:bottom w:val="none" w:sz="0" w:space="0" w:color="auto"/>
        <w:right w:val="none" w:sz="0" w:space="0" w:color="auto"/>
      </w:divBdr>
    </w:div>
    <w:div w:id="694963751">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3407298">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629530">
      <w:bodyDiv w:val="1"/>
      <w:marLeft w:val="0"/>
      <w:marRight w:val="0"/>
      <w:marTop w:val="0"/>
      <w:marBottom w:val="0"/>
      <w:divBdr>
        <w:top w:val="none" w:sz="0" w:space="0" w:color="auto"/>
        <w:left w:val="none" w:sz="0" w:space="0" w:color="auto"/>
        <w:bottom w:val="none" w:sz="0" w:space="0" w:color="auto"/>
        <w:right w:val="none" w:sz="0" w:space="0" w:color="auto"/>
      </w:divBdr>
    </w:div>
    <w:div w:id="738290202">
      <w:bodyDiv w:val="1"/>
      <w:marLeft w:val="0"/>
      <w:marRight w:val="0"/>
      <w:marTop w:val="0"/>
      <w:marBottom w:val="0"/>
      <w:divBdr>
        <w:top w:val="none" w:sz="0" w:space="0" w:color="auto"/>
        <w:left w:val="none" w:sz="0" w:space="0" w:color="auto"/>
        <w:bottom w:val="none" w:sz="0" w:space="0" w:color="auto"/>
        <w:right w:val="none" w:sz="0" w:space="0" w:color="auto"/>
      </w:divBdr>
    </w:div>
    <w:div w:id="740326379">
      <w:bodyDiv w:val="1"/>
      <w:marLeft w:val="0"/>
      <w:marRight w:val="0"/>
      <w:marTop w:val="0"/>
      <w:marBottom w:val="0"/>
      <w:divBdr>
        <w:top w:val="none" w:sz="0" w:space="0" w:color="auto"/>
        <w:left w:val="none" w:sz="0" w:space="0" w:color="auto"/>
        <w:bottom w:val="none" w:sz="0" w:space="0" w:color="auto"/>
        <w:right w:val="none" w:sz="0" w:space="0" w:color="auto"/>
      </w:divBdr>
    </w:div>
    <w:div w:id="745766103">
      <w:bodyDiv w:val="1"/>
      <w:marLeft w:val="0"/>
      <w:marRight w:val="0"/>
      <w:marTop w:val="0"/>
      <w:marBottom w:val="0"/>
      <w:divBdr>
        <w:top w:val="none" w:sz="0" w:space="0" w:color="auto"/>
        <w:left w:val="none" w:sz="0" w:space="0" w:color="auto"/>
        <w:bottom w:val="none" w:sz="0" w:space="0" w:color="auto"/>
        <w:right w:val="none" w:sz="0" w:space="0" w:color="auto"/>
      </w:divBdr>
    </w:div>
    <w:div w:id="749889911">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357481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6080283">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2552956">
      <w:bodyDiv w:val="1"/>
      <w:marLeft w:val="0"/>
      <w:marRight w:val="0"/>
      <w:marTop w:val="0"/>
      <w:marBottom w:val="0"/>
      <w:divBdr>
        <w:top w:val="none" w:sz="0" w:space="0" w:color="auto"/>
        <w:left w:val="none" w:sz="0" w:space="0" w:color="auto"/>
        <w:bottom w:val="none" w:sz="0" w:space="0" w:color="auto"/>
        <w:right w:val="none" w:sz="0" w:space="0" w:color="auto"/>
      </w:divBdr>
    </w:div>
    <w:div w:id="77675881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236284">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29061729">
      <w:bodyDiv w:val="1"/>
      <w:marLeft w:val="0"/>
      <w:marRight w:val="0"/>
      <w:marTop w:val="0"/>
      <w:marBottom w:val="0"/>
      <w:divBdr>
        <w:top w:val="none" w:sz="0" w:space="0" w:color="auto"/>
        <w:left w:val="none" w:sz="0" w:space="0" w:color="auto"/>
        <w:bottom w:val="none" w:sz="0" w:space="0" w:color="auto"/>
        <w:right w:val="none" w:sz="0" w:space="0" w:color="auto"/>
      </w:divBdr>
    </w:div>
    <w:div w:id="834346940">
      <w:bodyDiv w:val="1"/>
      <w:marLeft w:val="0"/>
      <w:marRight w:val="0"/>
      <w:marTop w:val="0"/>
      <w:marBottom w:val="0"/>
      <w:divBdr>
        <w:top w:val="none" w:sz="0" w:space="0" w:color="auto"/>
        <w:left w:val="none" w:sz="0" w:space="0" w:color="auto"/>
        <w:bottom w:val="none" w:sz="0" w:space="0" w:color="auto"/>
        <w:right w:val="none" w:sz="0" w:space="0" w:color="auto"/>
      </w:divBdr>
    </w:div>
    <w:div w:id="83835087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5438009">
      <w:bodyDiv w:val="1"/>
      <w:marLeft w:val="0"/>
      <w:marRight w:val="0"/>
      <w:marTop w:val="0"/>
      <w:marBottom w:val="0"/>
      <w:divBdr>
        <w:top w:val="none" w:sz="0" w:space="0" w:color="auto"/>
        <w:left w:val="none" w:sz="0" w:space="0" w:color="auto"/>
        <w:bottom w:val="none" w:sz="0" w:space="0" w:color="auto"/>
        <w:right w:val="none" w:sz="0" w:space="0" w:color="auto"/>
      </w:divBdr>
    </w:div>
    <w:div w:id="8566242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0529925">
      <w:bodyDiv w:val="1"/>
      <w:marLeft w:val="0"/>
      <w:marRight w:val="0"/>
      <w:marTop w:val="0"/>
      <w:marBottom w:val="0"/>
      <w:divBdr>
        <w:top w:val="none" w:sz="0" w:space="0" w:color="auto"/>
        <w:left w:val="none" w:sz="0" w:space="0" w:color="auto"/>
        <w:bottom w:val="none" w:sz="0" w:space="0" w:color="auto"/>
        <w:right w:val="none" w:sz="0" w:space="0" w:color="auto"/>
      </w:divBdr>
    </w:div>
    <w:div w:id="878513670">
      <w:bodyDiv w:val="1"/>
      <w:marLeft w:val="0"/>
      <w:marRight w:val="0"/>
      <w:marTop w:val="0"/>
      <w:marBottom w:val="0"/>
      <w:divBdr>
        <w:top w:val="none" w:sz="0" w:space="0" w:color="auto"/>
        <w:left w:val="none" w:sz="0" w:space="0" w:color="auto"/>
        <w:bottom w:val="none" w:sz="0" w:space="0" w:color="auto"/>
        <w:right w:val="none" w:sz="0" w:space="0" w:color="auto"/>
      </w:divBdr>
    </w:div>
    <w:div w:id="884415053">
      <w:bodyDiv w:val="1"/>
      <w:marLeft w:val="0"/>
      <w:marRight w:val="0"/>
      <w:marTop w:val="0"/>
      <w:marBottom w:val="0"/>
      <w:divBdr>
        <w:top w:val="none" w:sz="0" w:space="0" w:color="auto"/>
        <w:left w:val="none" w:sz="0" w:space="0" w:color="auto"/>
        <w:bottom w:val="none" w:sz="0" w:space="0" w:color="auto"/>
        <w:right w:val="none" w:sz="0" w:space="0" w:color="auto"/>
      </w:divBdr>
    </w:div>
    <w:div w:id="885071530">
      <w:bodyDiv w:val="1"/>
      <w:marLeft w:val="0"/>
      <w:marRight w:val="0"/>
      <w:marTop w:val="0"/>
      <w:marBottom w:val="0"/>
      <w:divBdr>
        <w:top w:val="none" w:sz="0" w:space="0" w:color="auto"/>
        <w:left w:val="none" w:sz="0" w:space="0" w:color="auto"/>
        <w:bottom w:val="none" w:sz="0" w:space="0" w:color="auto"/>
        <w:right w:val="none" w:sz="0" w:space="0" w:color="auto"/>
      </w:divBdr>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5340655">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08467597">
      <w:bodyDiv w:val="1"/>
      <w:marLeft w:val="0"/>
      <w:marRight w:val="0"/>
      <w:marTop w:val="0"/>
      <w:marBottom w:val="0"/>
      <w:divBdr>
        <w:top w:val="none" w:sz="0" w:space="0" w:color="auto"/>
        <w:left w:val="none" w:sz="0" w:space="0" w:color="auto"/>
        <w:bottom w:val="none" w:sz="0" w:space="0" w:color="auto"/>
        <w:right w:val="none" w:sz="0" w:space="0" w:color="auto"/>
      </w:divBdr>
    </w:div>
    <w:div w:id="913121543">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0340806">
      <w:bodyDiv w:val="1"/>
      <w:marLeft w:val="0"/>
      <w:marRight w:val="0"/>
      <w:marTop w:val="0"/>
      <w:marBottom w:val="0"/>
      <w:divBdr>
        <w:top w:val="none" w:sz="0" w:space="0" w:color="auto"/>
        <w:left w:val="none" w:sz="0" w:space="0" w:color="auto"/>
        <w:bottom w:val="none" w:sz="0" w:space="0" w:color="auto"/>
        <w:right w:val="none" w:sz="0" w:space="0" w:color="auto"/>
      </w:divBdr>
    </w:div>
    <w:div w:id="943263795">
      <w:bodyDiv w:val="1"/>
      <w:marLeft w:val="0"/>
      <w:marRight w:val="0"/>
      <w:marTop w:val="0"/>
      <w:marBottom w:val="0"/>
      <w:divBdr>
        <w:top w:val="none" w:sz="0" w:space="0" w:color="auto"/>
        <w:left w:val="none" w:sz="0" w:space="0" w:color="auto"/>
        <w:bottom w:val="none" w:sz="0" w:space="0" w:color="auto"/>
        <w:right w:val="none" w:sz="0" w:space="0" w:color="auto"/>
      </w:divBdr>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2946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5870024">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5032905">
      <w:bodyDiv w:val="1"/>
      <w:marLeft w:val="0"/>
      <w:marRight w:val="0"/>
      <w:marTop w:val="0"/>
      <w:marBottom w:val="0"/>
      <w:divBdr>
        <w:top w:val="none" w:sz="0" w:space="0" w:color="auto"/>
        <w:left w:val="none" w:sz="0" w:space="0" w:color="auto"/>
        <w:bottom w:val="none" w:sz="0" w:space="0" w:color="auto"/>
        <w:right w:val="none" w:sz="0" w:space="0" w:color="auto"/>
      </w:divBdr>
    </w:div>
    <w:div w:id="1026634965">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2970339">
      <w:bodyDiv w:val="1"/>
      <w:marLeft w:val="0"/>
      <w:marRight w:val="0"/>
      <w:marTop w:val="0"/>
      <w:marBottom w:val="0"/>
      <w:divBdr>
        <w:top w:val="none" w:sz="0" w:space="0" w:color="auto"/>
        <w:left w:val="none" w:sz="0" w:space="0" w:color="auto"/>
        <w:bottom w:val="none" w:sz="0" w:space="0" w:color="auto"/>
        <w:right w:val="none" w:sz="0" w:space="0" w:color="auto"/>
      </w:divBdr>
      <w:divsChild>
        <w:div w:id="294988027">
          <w:marLeft w:val="1267"/>
          <w:marRight w:val="0"/>
          <w:marTop w:val="180"/>
          <w:marBottom w:val="0"/>
          <w:divBdr>
            <w:top w:val="none" w:sz="0" w:space="0" w:color="auto"/>
            <w:left w:val="none" w:sz="0" w:space="0" w:color="auto"/>
            <w:bottom w:val="none" w:sz="0" w:space="0" w:color="auto"/>
            <w:right w:val="none" w:sz="0" w:space="0" w:color="auto"/>
          </w:divBdr>
        </w:div>
      </w:divsChild>
    </w:div>
    <w:div w:id="1054506217">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334090">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4373626">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9523068">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3767593">
      <w:bodyDiv w:val="1"/>
      <w:marLeft w:val="0"/>
      <w:marRight w:val="0"/>
      <w:marTop w:val="0"/>
      <w:marBottom w:val="0"/>
      <w:divBdr>
        <w:top w:val="none" w:sz="0" w:space="0" w:color="auto"/>
        <w:left w:val="none" w:sz="0" w:space="0" w:color="auto"/>
        <w:bottom w:val="none" w:sz="0" w:space="0" w:color="auto"/>
        <w:right w:val="none" w:sz="0" w:space="0" w:color="auto"/>
      </w:divBdr>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366992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555824">
      <w:bodyDiv w:val="1"/>
      <w:marLeft w:val="0"/>
      <w:marRight w:val="0"/>
      <w:marTop w:val="0"/>
      <w:marBottom w:val="0"/>
      <w:divBdr>
        <w:top w:val="none" w:sz="0" w:space="0" w:color="auto"/>
        <w:left w:val="none" w:sz="0" w:space="0" w:color="auto"/>
        <w:bottom w:val="none" w:sz="0" w:space="0" w:color="auto"/>
        <w:right w:val="none" w:sz="0" w:space="0" w:color="auto"/>
      </w:divBdr>
    </w:div>
    <w:div w:id="1147935607">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181708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337531">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2619936">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553652">
      <w:bodyDiv w:val="1"/>
      <w:marLeft w:val="0"/>
      <w:marRight w:val="0"/>
      <w:marTop w:val="0"/>
      <w:marBottom w:val="0"/>
      <w:divBdr>
        <w:top w:val="none" w:sz="0" w:space="0" w:color="auto"/>
        <w:left w:val="none" w:sz="0" w:space="0" w:color="auto"/>
        <w:bottom w:val="none" w:sz="0" w:space="0" w:color="auto"/>
        <w:right w:val="none" w:sz="0" w:space="0" w:color="auto"/>
      </w:divBdr>
    </w:div>
    <w:div w:id="1242183453">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1912556">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4114510">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943266">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5235983">
      <w:bodyDiv w:val="1"/>
      <w:marLeft w:val="0"/>
      <w:marRight w:val="0"/>
      <w:marTop w:val="0"/>
      <w:marBottom w:val="0"/>
      <w:divBdr>
        <w:top w:val="none" w:sz="0" w:space="0" w:color="auto"/>
        <w:left w:val="none" w:sz="0" w:space="0" w:color="auto"/>
        <w:bottom w:val="none" w:sz="0" w:space="0" w:color="auto"/>
        <w:right w:val="none" w:sz="0" w:space="0" w:color="auto"/>
      </w:divBdr>
    </w:div>
    <w:div w:id="1329754059">
      <w:bodyDiv w:val="1"/>
      <w:marLeft w:val="0"/>
      <w:marRight w:val="0"/>
      <w:marTop w:val="0"/>
      <w:marBottom w:val="0"/>
      <w:divBdr>
        <w:top w:val="none" w:sz="0" w:space="0" w:color="auto"/>
        <w:left w:val="none" w:sz="0" w:space="0" w:color="auto"/>
        <w:bottom w:val="none" w:sz="0" w:space="0" w:color="auto"/>
        <w:right w:val="none" w:sz="0" w:space="0" w:color="auto"/>
      </w:divBdr>
      <w:divsChild>
        <w:div w:id="1452824836">
          <w:marLeft w:val="806"/>
          <w:marRight w:val="0"/>
          <w:marTop w:val="240"/>
          <w:marBottom w:val="0"/>
          <w:divBdr>
            <w:top w:val="none" w:sz="0" w:space="0" w:color="auto"/>
            <w:left w:val="none" w:sz="0" w:space="0" w:color="auto"/>
            <w:bottom w:val="none" w:sz="0" w:space="0" w:color="auto"/>
            <w:right w:val="none" w:sz="0" w:space="0" w:color="auto"/>
          </w:divBdr>
        </w:div>
        <w:div w:id="742878687">
          <w:marLeft w:val="806"/>
          <w:marRight w:val="0"/>
          <w:marTop w:val="240"/>
          <w:marBottom w:val="0"/>
          <w:divBdr>
            <w:top w:val="none" w:sz="0" w:space="0" w:color="auto"/>
            <w:left w:val="none" w:sz="0" w:space="0" w:color="auto"/>
            <w:bottom w:val="none" w:sz="0" w:space="0" w:color="auto"/>
            <w:right w:val="none" w:sz="0" w:space="0" w:color="auto"/>
          </w:divBdr>
        </w:div>
        <w:div w:id="2122915107">
          <w:marLeft w:val="806"/>
          <w:marRight w:val="0"/>
          <w:marTop w:val="240"/>
          <w:marBottom w:val="0"/>
          <w:divBdr>
            <w:top w:val="none" w:sz="0" w:space="0" w:color="auto"/>
            <w:left w:val="none" w:sz="0" w:space="0" w:color="auto"/>
            <w:bottom w:val="none" w:sz="0" w:space="0" w:color="auto"/>
            <w:right w:val="none" w:sz="0" w:space="0" w:color="auto"/>
          </w:divBdr>
        </w:div>
      </w:divsChild>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36300394">
      <w:bodyDiv w:val="1"/>
      <w:marLeft w:val="0"/>
      <w:marRight w:val="0"/>
      <w:marTop w:val="0"/>
      <w:marBottom w:val="0"/>
      <w:divBdr>
        <w:top w:val="none" w:sz="0" w:space="0" w:color="auto"/>
        <w:left w:val="none" w:sz="0" w:space="0" w:color="auto"/>
        <w:bottom w:val="none" w:sz="0" w:space="0" w:color="auto"/>
        <w:right w:val="none" w:sz="0" w:space="0" w:color="auto"/>
      </w:divBdr>
    </w:div>
    <w:div w:id="133958028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0741770">
      <w:bodyDiv w:val="1"/>
      <w:marLeft w:val="0"/>
      <w:marRight w:val="0"/>
      <w:marTop w:val="0"/>
      <w:marBottom w:val="0"/>
      <w:divBdr>
        <w:top w:val="none" w:sz="0" w:space="0" w:color="auto"/>
        <w:left w:val="none" w:sz="0" w:space="0" w:color="auto"/>
        <w:bottom w:val="none" w:sz="0" w:space="0" w:color="auto"/>
        <w:right w:val="none" w:sz="0" w:space="0" w:color="auto"/>
      </w:divBdr>
    </w:div>
    <w:div w:id="1354067214">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0470007">
      <w:bodyDiv w:val="1"/>
      <w:marLeft w:val="0"/>
      <w:marRight w:val="0"/>
      <w:marTop w:val="0"/>
      <w:marBottom w:val="0"/>
      <w:divBdr>
        <w:top w:val="none" w:sz="0" w:space="0" w:color="auto"/>
        <w:left w:val="none" w:sz="0" w:space="0" w:color="auto"/>
        <w:bottom w:val="none" w:sz="0" w:space="0" w:color="auto"/>
        <w:right w:val="none" w:sz="0" w:space="0" w:color="auto"/>
      </w:divBdr>
    </w:div>
    <w:div w:id="1361055183">
      <w:bodyDiv w:val="1"/>
      <w:marLeft w:val="0"/>
      <w:marRight w:val="0"/>
      <w:marTop w:val="0"/>
      <w:marBottom w:val="0"/>
      <w:divBdr>
        <w:top w:val="none" w:sz="0" w:space="0" w:color="auto"/>
        <w:left w:val="none" w:sz="0" w:space="0" w:color="auto"/>
        <w:bottom w:val="none" w:sz="0" w:space="0" w:color="auto"/>
        <w:right w:val="none" w:sz="0" w:space="0" w:color="auto"/>
      </w:divBdr>
    </w:div>
    <w:div w:id="1363434427">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87695">
      <w:bodyDiv w:val="1"/>
      <w:marLeft w:val="0"/>
      <w:marRight w:val="0"/>
      <w:marTop w:val="0"/>
      <w:marBottom w:val="0"/>
      <w:divBdr>
        <w:top w:val="none" w:sz="0" w:space="0" w:color="auto"/>
        <w:left w:val="none" w:sz="0" w:space="0" w:color="auto"/>
        <w:bottom w:val="none" w:sz="0" w:space="0" w:color="auto"/>
        <w:right w:val="none" w:sz="0" w:space="0" w:color="auto"/>
      </w:divBdr>
    </w:div>
    <w:div w:id="1374967530">
      <w:bodyDiv w:val="1"/>
      <w:marLeft w:val="0"/>
      <w:marRight w:val="0"/>
      <w:marTop w:val="0"/>
      <w:marBottom w:val="0"/>
      <w:divBdr>
        <w:top w:val="none" w:sz="0" w:space="0" w:color="auto"/>
        <w:left w:val="none" w:sz="0" w:space="0" w:color="auto"/>
        <w:bottom w:val="none" w:sz="0" w:space="0" w:color="auto"/>
        <w:right w:val="none" w:sz="0" w:space="0" w:color="auto"/>
      </w:divBdr>
    </w:div>
    <w:div w:id="1381779767">
      <w:bodyDiv w:val="1"/>
      <w:marLeft w:val="0"/>
      <w:marRight w:val="0"/>
      <w:marTop w:val="0"/>
      <w:marBottom w:val="0"/>
      <w:divBdr>
        <w:top w:val="none" w:sz="0" w:space="0" w:color="auto"/>
        <w:left w:val="none" w:sz="0" w:space="0" w:color="auto"/>
        <w:bottom w:val="none" w:sz="0" w:space="0" w:color="auto"/>
        <w:right w:val="none" w:sz="0" w:space="0" w:color="auto"/>
      </w:divBdr>
    </w:div>
    <w:div w:id="1385105721">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504871">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1388369">
      <w:bodyDiv w:val="1"/>
      <w:marLeft w:val="0"/>
      <w:marRight w:val="0"/>
      <w:marTop w:val="0"/>
      <w:marBottom w:val="0"/>
      <w:divBdr>
        <w:top w:val="none" w:sz="0" w:space="0" w:color="auto"/>
        <w:left w:val="none" w:sz="0" w:space="0" w:color="auto"/>
        <w:bottom w:val="none" w:sz="0" w:space="0" w:color="auto"/>
        <w:right w:val="none" w:sz="0" w:space="0" w:color="auto"/>
      </w:divBdr>
    </w:div>
    <w:div w:id="1416168642">
      <w:bodyDiv w:val="1"/>
      <w:marLeft w:val="0"/>
      <w:marRight w:val="0"/>
      <w:marTop w:val="0"/>
      <w:marBottom w:val="0"/>
      <w:divBdr>
        <w:top w:val="none" w:sz="0" w:space="0" w:color="auto"/>
        <w:left w:val="none" w:sz="0" w:space="0" w:color="auto"/>
        <w:bottom w:val="none" w:sz="0" w:space="0" w:color="auto"/>
        <w:right w:val="none" w:sz="0" w:space="0" w:color="auto"/>
      </w:divBdr>
    </w:div>
    <w:div w:id="1416592906">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7139374">
      <w:bodyDiv w:val="1"/>
      <w:marLeft w:val="0"/>
      <w:marRight w:val="0"/>
      <w:marTop w:val="0"/>
      <w:marBottom w:val="0"/>
      <w:divBdr>
        <w:top w:val="none" w:sz="0" w:space="0" w:color="auto"/>
        <w:left w:val="none" w:sz="0" w:space="0" w:color="auto"/>
        <w:bottom w:val="none" w:sz="0" w:space="0" w:color="auto"/>
        <w:right w:val="none" w:sz="0" w:space="0" w:color="auto"/>
      </w:divBdr>
    </w:div>
    <w:div w:id="1467704249">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76692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4317419">
      <w:bodyDiv w:val="1"/>
      <w:marLeft w:val="0"/>
      <w:marRight w:val="0"/>
      <w:marTop w:val="0"/>
      <w:marBottom w:val="0"/>
      <w:divBdr>
        <w:top w:val="none" w:sz="0" w:space="0" w:color="auto"/>
        <w:left w:val="none" w:sz="0" w:space="0" w:color="auto"/>
        <w:bottom w:val="none" w:sz="0" w:space="0" w:color="auto"/>
        <w:right w:val="none" w:sz="0" w:space="0" w:color="auto"/>
      </w:divBdr>
    </w:div>
    <w:div w:id="1526212525">
      <w:bodyDiv w:val="1"/>
      <w:marLeft w:val="0"/>
      <w:marRight w:val="0"/>
      <w:marTop w:val="0"/>
      <w:marBottom w:val="0"/>
      <w:divBdr>
        <w:top w:val="none" w:sz="0" w:space="0" w:color="auto"/>
        <w:left w:val="none" w:sz="0" w:space="0" w:color="auto"/>
        <w:bottom w:val="none" w:sz="0" w:space="0" w:color="auto"/>
        <w:right w:val="none" w:sz="0" w:space="0" w:color="auto"/>
      </w:divBdr>
    </w:div>
    <w:div w:id="1529105571">
      <w:bodyDiv w:val="1"/>
      <w:marLeft w:val="0"/>
      <w:marRight w:val="0"/>
      <w:marTop w:val="0"/>
      <w:marBottom w:val="0"/>
      <w:divBdr>
        <w:top w:val="none" w:sz="0" w:space="0" w:color="auto"/>
        <w:left w:val="none" w:sz="0" w:space="0" w:color="auto"/>
        <w:bottom w:val="none" w:sz="0" w:space="0" w:color="auto"/>
        <w:right w:val="none" w:sz="0" w:space="0" w:color="auto"/>
      </w:divBdr>
    </w:div>
    <w:div w:id="1529946590">
      <w:bodyDiv w:val="1"/>
      <w:marLeft w:val="0"/>
      <w:marRight w:val="0"/>
      <w:marTop w:val="0"/>
      <w:marBottom w:val="0"/>
      <w:divBdr>
        <w:top w:val="none" w:sz="0" w:space="0" w:color="auto"/>
        <w:left w:val="none" w:sz="0" w:space="0" w:color="auto"/>
        <w:bottom w:val="none" w:sz="0" w:space="0" w:color="auto"/>
        <w:right w:val="none" w:sz="0" w:space="0" w:color="auto"/>
      </w:divBdr>
    </w:div>
    <w:div w:id="1530606116">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35733719">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268666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8590138">
      <w:bodyDiv w:val="1"/>
      <w:marLeft w:val="0"/>
      <w:marRight w:val="0"/>
      <w:marTop w:val="0"/>
      <w:marBottom w:val="0"/>
      <w:divBdr>
        <w:top w:val="none" w:sz="0" w:space="0" w:color="auto"/>
        <w:left w:val="none" w:sz="0" w:space="0" w:color="auto"/>
        <w:bottom w:val="none" w:sz="0" w:space="0" w:color="auto"/>
        <w:right w:val="none" w:sz="0" w:space="0" w:color="auto"/>
      </w:divBdr>
    </w:div>
    <w:div w:id="1559974662">
      <w:bodyDiv w:val="1"/>
      <w:marLeft w:val="0"/>
      <w:marRight w:val="0"/>
      <w:marTop w:val="0"/>
      <w:marBottom w:val="0"/>
      <w:divBdr>
        <w:top w:val="none" w:sz="0" w:space="0" w:color="auto"/>
        <w:left w:val="none" w:sz="0" w:space="0" w:color="auto"/>
        <w:bottom w:val="none" w:sz="0" w:space="0" w:color="auto"/>
        <w:right w:val="none" w:sz="0" w:space="0" w:color="auto"/>
      </w:divBdr>
    </w:div>
    <w:div w:id="1563053417">
      <w:bodyDiv w:val="1"/>
      <w:marLeft w:val="0"/>
      <w:marRight w:val="0"/>
      <w:marTop w:val="0"/>
      <w:marBottom w:val="0"/>
      <w:divBdr>
        <w:top w:val="none" w:sz="0" w:space="0" w:color="auto"/>
        <w:left w:val="none" w:sz="0" w:space="0" w:color="auto"/>
        <w:bottom w:val="none" w:sz="0" w:space="0" w:color="auto"/>
        <w:right w:val="none" w:sz="0" w:space="0" w:color="auto"/>
      </w:divBdr>
    </w:div>
    <w:div w:id="1564634045">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599634277">
      <w:bodyDiv w:val="1"/>
      <w:marLeft w:val="0"/>
      <w:marRight w:val="0"/>
      <w:marTop w:val="0"/>
      <w:marBottom w:val="0"/>
      <w:divBdr>
        <w:top w:val="none" w:sz="0" w:space="0" w:color="auto"/>
        <w:left w:val="none" w:sz="0" w:space="0" w:color="auto"/>
        <w:bottom w:val="none" w:sz="0" w:space="0" w:color="auto"/>
        <w:right w:val="none" w:sz="0" w:space="0" w:color="auto"/>
      </w:divBdr>
    </w:div>
    <w:div w:id="1610157938">
      <w:bodyDiv w:val="1"/>
      <w:marLeft w:val="0"/>
      <w:marRight w:val="0"/>
      <w:marTop w:val="0"/>
      <w:marBottom w:val="0"/>
      <w:divBdr>
        <w:top w:val="none" w:sz="0" w:space="0" w:color="auto"/>
        <w:left w:val="none" w:sz="0" w:space="0" w:color="auto"/>
        <w:bottom w:val="none" w:sz="0" w:space="0" w:color="auto"/>
        <w:right w:val="none" w:sz="0" w:space="0" w:color="auto"/>
      </w:divBdr>
    </w:div>
    <w:div w:id="1614165897">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16328205">
      <w:bodyDiv w:val="1"/>
      <w:marLeft w:val="0"/>
      <w:marRight w:val="0"/>
      <w:marTop w:val="0"/>
      <w:marBottom w:val="0"/>
      <w:divBdr>
        <w:top w:val="none" w:sz="0" w:space="0" w:color="auto"/>
        <w:left w:val="none" w:sz="0" w:space="0" w:color="auto"/>
        <w:bottom w:val="none" w:sz="0" w:space="0" w:color="auto"/>
        <w:right w:val="none" w:sz="0" w:space="0" w:color="auto"/>
      </w:divBdr>
    </w:div>
    <w:div w:id="1621451927">
      <w:bodyDiv w:val="1"/>
      <w:marLeft w:val="0"/>
      <w:marRight w:val="0"/>
      <w:marTop w:val="0"/>
      <w:marBottom w:val="0"/>
      <w:divBdr>
        <w:top w:val="none" w:sz="0" w:space="0" w:color="auto"/>
        <w:left w:val="none" w:sz="0" w:space="0" w:color="auto"/>
        <w:bottom w:val="none" w:sz="0" w:space="0" w:color="auto"/>
        <w:right w:val="none" w:sz="0" w:space="0" w:color="auto"/>
      </w:divBdr>
    </w:div>
    <w:div w:id="1622102815">
      <w:bodyDiv w:val="1"/>
      <w:marLeft w:val="0"/>
      <w:marRight w:val="0"/>
      <w:marTop w:val="0"/>
      <w:marBottom w:val="0"/>
      <w:divBdr>
        <w:top w:val="none" w:sz="0" w:space="0" w:color="auto"/>
        <w:left w:val="none" w:sz="0" w:space="0" w:color="auto"/>
        <w:bottom w:val="none" w:sz="0" w:space="0" w:color="auto"/>
        <w:right w:val="none" w:sz="0" w:space="0" w:color="auto"/>
      </w:divBdr>
    </w:div>
    <w:div w:id="1624534658">
      <w:bodyDiv w:val="1"/>
      <w:marLeft w:val="0"/>
      <w:marRight w:val="0"/>
      <w:marTop w:val="0"/>
      <w:marBottom w:val="0"/>
      <w:divBdr>
        <w:top w:val="none" w:sz="0" w:space="0" w:color="auto"/>
        <w:left w:val="none" w:sz="0" w:space="0" w:color="auto"/>
        <w:bottom w:val="none" w:sz="0" w:space="0" w:color="auto"/>
        <w:right w:val="none" w:sz="0" w:space="0" w:color="auto"/>
      </w:divBdr>
    </w:div>
    <w:div w:id="16292418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7107869">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1984081">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92609304">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143775">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3963312">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41169892">
      <w:bodyDiv w:val="1"/>
      <w:marLeft w:val="0"/>
      <w:marRight w:val="0"/>
      <w:marTop w:val="0"/>
      <w:marBottom w:val="0"/>
      <w:divBdr>
        <w:top w:val="none" w:sz="0" w:space="0" w:color="auto"/>
        <w:left w:val="none" w:sz="0" w:space="0" w:color="auto"/>
        <w:bottom w:val="none" w:sz="0" w:space="0" w:color="auto"/>
        <w:right w:val="none" w:sz="0" w:space="0" w:color="auto"/>
      </w:divBdr>
    </w:div>
    <w:div w:id="1741323229">
      <w:bodyDiv w:val="1"/>
      <w:marLeft w:val="0"/>
      <w:marRight w:val="0"/>
      <w:marTop w:val="0"/>
      <w:marBottom w:val="0"/>
      <w:divBdr>
        <w:top w:val="none" w:sz="0" w:space="0" w:color="auto"/>
        <w:left w:val="none" w:sz="0" w:space="0" w:color="auto"/>
        <w:bottom w:val="none" w:sz="0" w:space="0" w:color="auto"/>
        <w:right w:val="none" w:sz="0" w:space="0" w:color="auto"/>
      </w:divBdr>
    </w:div>
    <w:div w:id="1746298903">
      <w:bodyDiv w:val="1"/>
      <w:marLeft w:val="0"/>
      <w:marRight w:val="0"/>
      <w:marTop w:val="0"/>
      <w:marBottom w:val="0"/>
      <w:divBdr>
        <w:top w:val="none" w:sz="0" w:space="0" w:color="auto"/>
        <w:left w:val="none" w:sz="0" w:space="0" w:color="auto"/>
        <w:bottom w:val="none" w:sz="0" w:space="0" w:color="auto"/>
        <w:right w:val="none" w:sz="0" w:space="0" w:color="auto"/>
      </w:divBdr>
    </w:div>
    <w:div w:id="1756894933">
      <w:bodyDiv w:val="1"/>
      <w:marLeft w:val="0"/>
      <w:marRight w:val="0"/>
      <w:marTop w:val="0"/>
      <w:marBottom w:val="0"/>
      <w:divBdr>
        <w:top w:val="none" w:sz="0" w:space="0" w:color="auto"/>
        <w:left w:val="none" w:sz="0" w:space="0" w:color="auto"/>
        <w:bottom w:val="none" w:sz="0" w:space="0" w:color="auto"/>
        <w:right w:val="none" w:sz="0" w:space="0" w:color="auto"/>
      </w:divBdr>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5684648">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200439">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759013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6660119">
      <w:bodyDiv w:val="1"/>
      <w:marLeft w:val="0"/>
      <w:marRight w:val="0"/>
      <w:marTop w:val="0"/>
      <w:marBottom w:val="0"/>
      <w:divBdr>
        <w:top w:val="none" w:sz="0" w:space="0" w:color="auto"/>
        <w:left w:val="none" w:sz="0" w:space="0" w:color="auto"/>
        <w:bottom w:val="none" w:sz="0" w:space="0" w:color="auto"/>
        <w:right w:val="none" w:sz="0" w:space="0" w:color="auto"/>
      </w:divBdr>
    </w:div>
    <w:div w:id="1814566785">
      <w:bodyDiv w:val="1"/>
      <w:marLeft w:val="0"/>
      <w:marRight w:val="0"/>
      <w:marTop w:val="0"/>
      <w:marBottom w:val="0"/>
      <w:divBdr>
        <w:top w:val="none" w:sz="0" w:space="0" w:color="auto"/>
        <w:left w:val="none" w:sz="0" w:space="0" w:color="auto"/>
        <w:bottom w:val="none" w:sz="0" w:space="0" w:color="auto"/>
        <w:right w:val="none" w:sz="0" w:space="0" w:color="auto"/>
      </w:divBdr>
    </w:div>
    <w:div w:id="1817067067">
      <w:bodyDiv w:val="1"/>
      <w:marLeft w:val="0"/>
      <w:marRight w:val="0"/>
      <w:marTop w:val="0"/>
      <w:marBottom w:val="0"/>
      <w:divBdr>
        <w:top w:val="none" w:sz="0" w:space="0" w:color="auto"/>
        <w:left w:val="none" w:sz="0" w:space="0" w:color="auto"/>
        <w:bottom w:val="none" w:sz="0" w:space="0" w:color="auto"/>
        <w:right w:val="none" w:sz="0" w:space="0" w:color="auto"/>
      </w:divBdr>
    </w:div>
    <w:div w:id="1818065806">
      <w:bodyDiv w:val="1"/>
      <w:marLeft w:val="0"/>
      <w:marRight w:val="0"/>
      <w:marTop w:val="0"/>
      <w:marBottom w:val="0"/>
      <w:divBdr>
        <w:top w:val="none" w:sz="0" w:space="0" w:color="auto"/>
        <w:left w:val="none" w:sz="0" w:space="0" w:color="auto"/>
        <w:bottom w:val="none" w:sz="0" w:space="0" w:color="auto"/>
        <w:right w:val="none" w:sz="0" w:space="0" w:color="auto"/>
      </w:divBdr>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429459">
      <w:bodyDiv w:val="1"/>
      <w:marLeft w:val="0"/>
      <w:marRight w:val="0"/>
      <w:marTop w:val="0"/>
      <w:marBottom w:val="0"/>
      <w:divBdr>
        <w:top w:val="none" w:sz="0" w:space="0" w:color="auto"/>
        <w:left w:val="none" w:sz="0" w:space="0" w:color="auto"/>
        <w:bottom w:val="none" w:sz="0" w:space="0" w:color="auto"/>
        <w:right w:val="none" w:sz="0" w:space="0" w:color="auto"/>
      </w:divBdr>
    </w:div>
    <w:div w:id="1833838352">
      <w:bodyDiv w:val="1"/>
      <w:marLeft w:val="0"/>
      <w:marRight w:val="0"/>
      <w:marTop w:val="0"/>
      <w:marBottom w:val="0"/>
      <w:divBdr>
        <w:top w:val="none" w:sz="0" w:space="0" w:color="auto"/>
        <w:left w:val="none" w:sz="0" w:space="0" w:color="auto"/>
        <w:bottom w:val="none" w:sz="0" w:space="0" w:color="auto"/>
        <w:right w:val="none" w:sz="0" w:space="0" w:color="auto"/>
      </w:divBdr>
    </w:div>
    <w:div w:id="1836023575">
      <w:bodyDiv w:val="1"/>
      <w:marLeft w:val="0"/>
      <w:marRight w:val="0"/>
      <w:marTop w:val="0"/>
      <w:marBottom w:val="0"/>
      <w:divBdr>
        <w:top w:val="none" w:sz="0" w:space="0" w:color="auto"/>
        <w:left w:val="none" w:sz="0" w:space="0" w:color="auto"/>
        <w:bottom w:val="none" w:sz="0" w:space="0" w:color="auto"/>
        <w:right w:val="none" w:sz="0" w:space="0" w:color="auto"/>
      </w:divBdr>
    </w:div>
    <w:div w:id="1849520466">
      <w:bodyDiv w:val="1"/>
      <w:marLeft w:val="0"/>
      <w:marRight w:val="0"/>
      <w:marTop w:val="0"/>
      <w:marBottom w:val="0"/>
      <w:divBdr>
        <w:top w:val="none" w:sz="0" w:space="0" w:color="auto"/>
        <w:left w:val="none" w:sz="0" w:space="0" w:color="auto"/>
        <w:bottom w:val="none" w:sz="0" w:space="0" w:color="auto"/>
        <w:right w:val="none" w:sz="0" w:space="0" w:color="auto"/>
      </w:divBdr>
    </w:div>
    <w:div w:id="1851601606">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096696">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805844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6864091">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5649">
      <w:bodyDiv w:val="1"/>
      <w:marLeft w:val="0"/>
      <w:marRight w:val="0"/>
      <w:marTop w:val="0"/>
      <w:marBottom w:val="0"/>
      <w:divBdr>
        <w:top w:val="none" w:sz="0" w:space="0" w:color="auto"/>
        <w:left w:val="none" w:sz="0" w:space="0" w:color="auto"/>
        <w:bottom w:val="none" w:sz="0" w:space="0" w:color="auto"/>
        <w:right w:val="none" w:sz="0" w:space="0" w:color="auto"/>
      </w:divBdr>
      <w:divsChild>
        <w:div w:id="953907070">
          <w:marLeft w:val="1166"/>
          <w:marRight w:val="0"/>
          <w:marTop w:val="0"/>
          <w:marBottom w:val="0"/>
          <w:divBdr>
            <w:top w:val="none" w:sz="0" w:space="0" w:color="auto"/>
            <w:left w:val="none" w:sz="0" w:space="0" w:color="auto"/>
            <w:bottom w:val="none" w:sz="0" w:space="0" w:color="auto"/>
            <w:right w:val="none" w:sz="0" w:space="0" w:color="auto"/>
          </w:divBdr>
        </w:div>
        <w:div w:id="1092168514">
          <w:marLeft w:val="1166"/>
          <w:marRight w:val="0"/>
          <w:marTop w:val="0"/>
          <w:marBottom w:val="0"/>
          <w:divBdr>
            <w:top w:val="none" w:sz="0" w:space="0" w:color="auto"/>
            <w:left w:val="none" w:sz="0" w:space="0" w:color="auto"/>
            <w:bottom w:val="none" w:sz="0" w:space="0" w:color="auto"/>
            <w:right w:val="none" w:sz="0" w:space="0" w:color="auto"/>
          </w:divBdr>
        </w:div>
        <w:div w:id="282152513">
          <w:marLeft w:val="1166"/>
          <w:marRight w:val="0"/>
          <w:marTop w:val="0"/>
          <w:marBottom w:val="0"/>
          <w:divBdr>
            <w:top w:val="none" w:sz="0" w:space="0" w:color="auto"/>
            <w:left w:val="none" w:sz="0" w:space="0" w:color="auto"/>
            <w:bottom w:val="none" w:sz="0" w:space="0" w:color="auto"/>
            <w:right w:val="none" w:sz="0" w:space="0" w:color="auto"/>
          </w:divBdr>
        </w:div>
        <w:div w:id="2115048292">
          <w:marLeft w:val="1166"/>
          <w:marRight w:val="0"/>
          <w:marTop w:val="0"/>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46003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0575291">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1564673">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929724">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 w:id="201918828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962337">
      <w:bodyDiv w:val="1"/>
      <w:marLeft w:val="0"/>
      <w:marRight w:val="0"/>
      <w:marTop w:val="0"/>
      <w:marBottom w:val="0"/>
      <w:divBdr>
        <w:top w:val="none" w:sz="0" w:space="0" w:color="auto"/>
        <w:left w:val="none" w:sz="0" w:space="0" w:color="auto"/>
        <w:bottom w:val="none" w:sz="0" w:space="0" w:color="auto"/>
        <w:right w:val="none" w:sz="0" w:space="0" w:color="auto"/>
      </w:divBdr>
    </w:div>
    <w:div w:id="2039620089">
      <w:bodyDiv w:val="1"/>
      <w:marLeft w:val="0"/>
      <w:marRight w:val="0"/>
      <w:marTop w:val="0"/>
      <w:marBottom w:val="0"/>
      <w:divBdr>
        <w:top w:val="none" w:sz="0" w:space="0" w:color="auto"/>
        <w:left w:val="none" w:sz="0" w:space="0" w:color="auto"/>
        <w:bottom w:val="none" w:sz="0" w:space="0" w:color="auto"/>
        <w:right w:val="none" w:sz="0" w:space="0" w:color="auto"/>
      </w:divBdr>
    </w:div>
    <w:div w:id="2045861398">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2846830">
      <w:bodyDiv w:val="1"/>
      <w:marLeft w:val="0"/>
      <w:marRight w:val="0"/>
      <w:marTop w:val="0"/>
      <w:marBottom w:val="0"/>
      <w:divBdr>
        <w:top w:val="none" w:sz="0" w:space="0" w:color="auto"/>
        <w:left w:val="none" w:sz="0" w:space="0" w:color="auto"/>
        <w:bottom w:val="none" w:sz="0" w:space="0" w:color="auto"/>
        <w:right w:val="none" w:sz="0" w:space="0" w:color="auto"/>
      </w:divBdr>
      <w:divsChild>
        <w:div w:id="112676619">
          <w:marLeft w:val="1267"/>
          <w:marRight w:val="0"/>
          <w:marTop w:val="180"/>
          <w:marBottom w:val="0"/>
          <w:divBdr>
            <w:top w:val="none" w:sz="0" w:space="0" w:color="auto"/>
            <w:left w:val="none" w:sz="0" w:space="0" w:color="auto"/>
            <w:bottom w:val="none" w:sz="0" w:space="0" w:color="auto"/>
            <w:right w:val="none" w:sz="0" w:space="0" w:color="auto"/>
          </w:divBdr>
        </w:div>
      </w:divsChild>
    </w:div>
    <w:div w:id="2073233658">
      <w:bodyDiv w:val="1"/>
      <w:marLeft w:val="0"/>
      <w:marRight w:val="0"/>
      <w:marTop w:val="0"/>
      <w:marBottom w:val="0"/>
      <w:divBdr>
        <w:top w:val="none" w:sz="0" w:space="0" w:color="auto"/>
        <w:left w:val="none" w:sz="0" w:space="0" w:color="auto"/>
        <w:bottom w:val="none" w:sz="0" w:space="0" w:color="auto"/>
        <w:right w:val="none" w:sz="0" w:space="0" w:color="auto"/>
      </w:divBdr>
    </w:div>
    <w:div w:id="2074035799">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75852884">
      <w:bodyDiv w:val="1"/>
      <w:marLeft w:val="0"/>
      <w:marRight w:val="0"/>
      <w:marTop w:val="0"/>
      <w:marBottom w:val="0"/>
      <w:divBdr>
        <w:top w:val="none" w:sz="0" w:space="0" w:color="auto"/>
        <w:left w:val="none" w:sz="0" w:space="0" w:color="auto"/>
        <w:bottom w:val="none" w:sz="0" w:space="0" w:color="auto"/>
        <w:right w:val="none" w:sz="0" w:space="0" w:color="auto"/>
      </w:divBdr>
    </w:div>
    <w:div w:id="2082897649">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1046101">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219701">
      <w:bodyDiv w:val="1"/>
      <w:marLeft w:val="0"/>
      <w:marRight w:val="0"/>
      <w:marTop w:val="0"/>
      <w:marBottom w:val="0"/>
      <w:divBdr>
        <w:top w:val="none" w:sz="0" w:space="0" w:color="auto"/>
        <w:left w:val="none" w:sz="0" w:space="0" w:color="auto"/>
        <w:bottom w:val="none" w:sz="0" w:space="0" w:color="auto"/>
        <w:right w:val="none" w:sz="0" w:space="0" w:color="auto"/>
      </w:divBdr>
    </w:div>
    <w:div w:id="2123105480">
      <w:bodyDiv w:val="1"/>
      <w:marLeft w:val="0"/>
      <w:marRight w:val="0"/>
      <w:marTop w:val="0"/>
      <w:marBottom w:val="0"/>
      <w:divBdr>
        <w:top w:val="none" w:sz="0" w:space="0" w:color="auto"/>
        <w:left w:val="none" w:sz="0" w:space="0" w:color="auto"/>
        <w:bottom w:val="none" w:sz="0" w:space="0" w:color="auto"/>
        <w:right w:val="none" w:sz="0" w:space="0" w:color="auto"/>
      </w:divBdr>
    </w:div>
    <w:div w:id="2132241916">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7017681">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2533</Words>
  <Characters>14442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2024-11-08T21:52:00Z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